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0DE16" w14:textId="77777777" w:rsidR="0013696B" w:rsidRDefault="00202502">
      <w:r>
        <w:rPr>
          <w:b/>
          <w:sz w:val="36"/>
        </w:rPr>
        <w:t>Relecloud – Business Overview and Acquisition Analysis</w:t>
      </w:r>
    </w:p>
    <w:p w14:paraId="5334CC6E" w14:textId="77777777" w:rsidR="0013696B" w:rsidRDefault="00202502">
      <w:r>
        <w:t>Prepared for Fabrikam Executive Review</w:t>
      </w:r>
    </w:p>
    <w:p w14:paraId="2B937B05" w14:textId="77777777" w:rsidR="0013696B" w:rsidRDefault="00202502">
      <w:pPr>
        <w:pStyle w:val="berschrift1"/>
      </w:pPr>
      <w:r>
        <w:t>1. Company Overview</w:t>
      </w:r>
    </w:p>
    <w:p w14:paraId="53E3273D" w14:textId="77777777" w:rsidR="0013696B" w:rsidRDefault="00202502">
      <w:r>
        <w:rPr>
          <w:b/>
        </w:rPr>
        <w:t xml:space="preserve">Basic Information. </w:t>
      </w:r>
      <w:r>
        <w:t>Relecloud, Ltd. is a cloud-first software company headquartered in Dublin, Ireland, founded in 2016. The leadership team includes CEO Mira O’Donnell, CFO Liam Byrne, CTO Priya Natarajan, and COO Javier Ruiz. Relecloud is privately held with a mix of venture and employee ownership. The company has ~1,150 employees across 7 offices (Dublin, London, Berlin, Toronto, Austin, Singapore, Sydney).</w:t>
      </w:r>
    </w:p>
    <w:p w14:paraId="4C652062" w14:textId="77777777" w:rsidR="0013696B" w:rsidRDefault="00202502">
      <w:r>
        <w:rPr>
          <w:b/>
        </w:rPr>
        <w:t xml:space="preserve">Business Model. </w:t>
      </w:r>
      <w:r>
        <w:t>Revenue is generated primarily through subscription software (SaaS ~72%), cloud infrastructure services (~18%), and consulting/managed services (~10%). Pricing is tiered (Essential, Growth, Enterprise), with per-seat and usage-based components.</w:t>
      </w:r>
    </w:p>
    <w:p w14:paraId="5E98258B" w14:textId="77777777" w:rsidR="0013696B" w:rsidRDefault="00202502">
      <w:r>
        <w:rPr>
          <w:b/>
        </w:rPr>
        <w:t xml:space="preserve">Vision, Mission, and Strategy. </w:t>
      </w:r>
      <w:r>
        <w:t>Vision: empower digital businesses to deliver secure, scalable, and data-driven experiences. Mission: simplify multi-cloud operations for mid-market and enterprise customers. Strategy: expand platform capabilities via AI-driven observability, security automation, and industry-specific solution packs; grow via EMEA and North American enterprise accounts and selective channel partnerships.</w:t>
      </w:r>
    </w:p>
    <w:p w14:paraId="0DE52C73" w14:textId="77777777" w:rsidR="0013696B" w:rsidRDefault="00202502">
      <w:r>
        <w:rPr>
          <w:b/>
        </w:rPr>
        <w:t xml:space="preserve">Products and Services. </w:t>
      </w:r>
      <w:r>
        <w:t>Core products include Relecloud Control (multi-cloud orchestration), Relecloud Secure (cloud security posture management), Relecloud Insight (observability and analytics), and Relecloud Edge (device and edge workload management). Services include implementation consulting, managed operations, and premium support SLAs.</w:t>
      </w:r>
    </w:p>
    <w:p w14:paraId="2BE70149" w14:textId="77777777" w:rsidR="0013696B" w:rsidRDefault="00202502">
      <w:pPr>
        <w:pStyle w:val="berschrift1"/>
      </w:pPr>
      <w:r>
        <w:t>2. Market Position and Industry Analysis</w:t>
      </w:r>
    </w:p>
    <w:p w14:paraId="58290843" w14:textId="77777777" w:rsidR="0013696B" w:rsidRDefault="00202502">
      <w:r>
        <w:t>Target Market: Lower-to-mid enterprise (500–5,000 employees) and regulated SMBs across fintech, retail, healthcare, and SaaS providers.</w:t>
      </w:r>
      <w:r>
        <w:br/>
        <w:t>Market Share &amp; Positioning: In EMEA mid-enterprise cloud management, Relecloud holds an estimated 3.4% share, competing with established platforms and niche tools. Differentiation centers on rapid deployment, security automation, and total cost of ownership (TCO) advantages.</w:t>
      </w:r>
      <w:r>
        <w:br/>
        <w:t>Industry Trends: Continued cloud migration, AI-assisted operations (AIOps), zero-trust security, and data sovereignty rules. Opportunities include AI-driven remediation and sector packs; threats include hyperscaler native tooling, price compression, and evolving data regulations.</w:t>
      </w:r>
      <w:r>
        <w:br/>
        <w:t>Competitors: Major—Datadog, Wiz, HashiCorp (Terraform Cloud), and ServiceNow (Cloud Ops). Niche—Lacework, Snyk Cloud, and several EU-focused security startups. Relecloud differentiates via integrated orchestration + security, strong mid-market economics, and turnkey compliance templates.</w:t>
      </w:r>
    </w:p>
    <w:p w14:paraId="392EDBC4" w14:textId="77777777" w:rsidR="0013696B" w:rsidRDefault="00202502">
      <w:pPr>
        <w:pStyle w:val="berschrift1"/>
      </w:pPr>
      <w:r>
        <w:lastRenderedPageBreak/>
        <w:t>3. Financial Performance</w:t>
      </w:r>
    </w:p>
    <w:tbl>
      <w:tblPr>
        <w:tblStyle w:val="HelleListe-Akzent1"/>
        <w:tblW w:w="0" w:type="auto"/>
        <w:tblLook w:val="04A0" w:firstRow="1" w:lastRow="0" w:firstColumn="1" w:lastColumn="0" w:noHBand="0" w:noVBand="1"/>
      </w:tblPr>
      <w:tblGrid>
        <w:gridCol w:w="1440"/>
        <w:gridCol w:w="1440"/>
        <w:gridCol w:w="1440"/>
        <w:gridCol w:w="1440"/>
        <w:gridCol w:w="1440"/>
        <w:gridCol w:w="1440"/>
      </w:tblGrid>
      <w:tr w:rsidR="0013696B" w14:paraId="6D8B5F00" w14:textId="77777777" w:rsidTr="00136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55B1B77B" w14:textId="77777777" w:rsidR="0013696B" w:rsidRDefault="00202502">
            <w:r>
              <w:t>Year</w:t>
            </w:r>
          </w:p>
        </w:tc>
        <w:tc>
          <w:tcPr>
            <w:tcW w:w="1440" w:type="dxa"/>
          </w:tcPr>
          <w:p w14:paraId="1DD8DC40" w14:textId="77777777" w:rsidR="0013696B" w:rsidRDefault="00202502">
            <w:pPr>
              <w:cnfStyle w:val="100000000000" w:firstRow="1" w:lastRow="0" w:firstColumn="0" w:lastColumn="0" w:oddVBand="0" w:evenVBand="0" w:oddHBand="0" w:evenHBand="0" w:firstRowFirstColumn="0" w:firstRowLastColumn="0" w:lastRowFirstColumn="0" w:lastRowLastColumn="0"/>
            </w:pPr>
            <w:r>
              <w:t>Revenue (USD mm)</w:t>
            </w:r>
          </w:p>
        </w:tc>
        <w:tc>
          <w:tcPr>
            <w:tcW w:w="1440" w:type="dxa"/>
          </w:tcPr>
          <w:p w14:paraId="238652AD" w14:textId="77777777" w:rsidR="0013696B" w:rsidRDefault="00202502">
            <w:pPr>
              <w:cnfStyle w:val="100000000000" w:firstRow="1" w:lastRow="0" w:firstColumn="0" w:lastColumn="0" w:oddVBand="0" w:evenVBand="0" w:oddHBand="0" w:evenHBand="0" w:firstRowFirstColumn="0" w:firstRowLastColumn="0" w:lastRowFirstColumn="0" w:lastRowLastColumn="0"/>
            </w:pPr>
            <w:r>
              <w:t>COGS (USD mm)</w:t>
            </w:r>
          </w:p>
        </w:tc>
        <w:tc>
          <w:tcPr>
            <w:tcW w:w="1440" w:type="dxa"/>
          </w:tcPr>
          <w:p w14:paraId="731E7F00" w14:textId="77777777" w:rsidR="0013696B" w:rsidRDefault="00202502">
            <w:pPr>
              <w:cnfStyle w:val="100000000000" w:firstRow="1" w:lastRow="0" w:firstColumn="0" w:lastColumn="0" w:oddVBand="0" w:evenVBand="0" w:oddHBand="0" w:evenHBand="0" w:firstRowFirstColumn="0" w:firstRowLastColumn="0" w:lastRowFirstColumn="0" w:lastRowLastColumn="0"/>
            </w:pPr>
            <w:r>
              <w:t>Operating Expenses (USD mm)</w:t>
            </w:r>
          </w:p>
        </w:tc>
        <w:tc>
          <w:tcPr>
            <w:tcW w:w="1440" w:type="dxa"/>
          </w:tcPr>
          <w:p w14:paraId="73FB2021" w14:textId="77777777" w:rsidR="0013696B" w:rsidRDefault="00202502">
            <w:pPr>
              <w:cnfStyle w:val="100000000000" w:firstRow="1" w:lastRow="0" w:firstColumn="0" w:lastColumn="0" w:oddVBand="0" w:evenVBand="0" w:oddHBand="0" w:evenHBand="0" w:firstRowFirstColumn="0" w:firstRowLastColumn="0" w:lastRowFirstColumn="0" w:lastRowLastColumn="0"/>
            </w:pPr>
            <w:r>
              <w:t>EBITDA (USD mm)</w:t>
            </w:r>
          </w:p>
        </w:tc>
        <w:tc>
          <w:tcPr>
            <w:tcW w:w="1440" w:type="dxa"/>
          </w:tcPr>
          <w:p w14:paraId="040C7905" w14:textId="77777777" w:rsidR="0013696B" w:rsidRDefault="00202502">
            <w:pPr>
              <w:cnfStyle w:val="100000000000" w:firstRow="1" w:lastRow="0" w:firstColumn="0" w:lastColumn="0" w:oddVBand="0" w:evenVBand="0" w:oddHBand="0" w:evenHBand="0" w:firstRowFirstColumn="0" w:firstRowLastColumn="0" w:lastRowFirstColumn="0" w:lastRowLastColumn="0"/>
            </w:pPr>
            <w:r>
              <w:t>Net Income (USD mm)</w:t>
            </w:r>
          </w:p>
        </w:tc>
      </w:tr>
      <w:tr w:rsidR="0013696B" w14:paraId="3943A3E8" w14:textId="77777777" w:rsidTr="00136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16C866F5" w14:textId="77777777" w:rsidR="0013696B" w:rsidRDefault="00202502">
            <w:r>
              <w:t>2021.0</w:t>
            </w:r>
          </w:p>
        </w:tc>
        <w:tc>
          <w:tcPr>
            <w:tcW w:w="1440" w:type="dxa"/>
          </w:tcPr>
          <w:p w14:paraId="21228478" w14:textId="77777777" w:rsidR="0013696B" w:rsidRDefault="00202502">
            <w:pPr>
              <w:cnfStyle w:val="000000100000" w:firstRow="0" w:lastRow="0" w:firstColumn="0" w:lastColumn="0" w:oddVBand="0" w:evenVBand="0" w:oddHBand="1" w:evenHBand="0" w:firstRowFirstColumn="0" w:firstRowLastColumn="0" w:lastRowFirstColumn="0" w:lastRowLastColumn="0"/>
            </w:pPr>
            <w:r>
              <w:t>118.4</w:t>
            </w:r>
          </w:p>
        </w:tc>
        <w:tc>
          <w:tcPr>
            <w:tcW w:w="1440" w:type="dxa"/>
          </w:tcPr>
          <w:p w14:paraId="4440C3AA" w14:textId="77777777" w:rsidR="0013696B" w:rsidRDefault="00202502">
            <w:pPr>
              <w:cnfStyle w:val="000000100000" w:firstRow="0" w:lastRow="0" w:firstColumn="0" w:lastColumn="0" w:oddVBand="0" w:evenVBand="0" w:oddHBand="1" w:evenHBand="0" w:firstRowFirstColumn="0" w:firstRowLastColumn="0" w:lastRowFirstColumn="0" w:lastRowLastColumn="0"/>
            </w:pPr>
            <w:r>
              <w:t>36.1</w:t>
            </w:r>
          </w:p>
        </w:tc>
        <w:tc>
          <w:tcPr>
            <w:tcW w:w="1440" w:type="dxa"/>
          </w:tcPr>
          <w:p w14:paraId="039F22F5" w14:textId="77777777" w:rsidR="0013696B" w:rsidRDefault="00202502">
            <w:pPr>
              <w:cnfStyle w:val="000000100000" w:firstRow="0" w:lastRow="0" w:firstColumn="0" w:lastColumn="0" w:oddVBand="0" w:evenVBand="0" w:oddHBand="1" w:evenHBand="0" w:firstRowFirstColumn="0" w:firstRowLastColumn="0" w:lastRowFirstColumn="0" w:lastRowLastColumn="0"/>
            </w:pPr>
            <w:r>
              <w:t>62.5</w:t>
            </w:r>
          </w:p>
        </w:tc>
        <w:tc>
          <w:tcPr>
            <w:tcW w:w="1440" w:type="dxa"/>
          </w:tcPr>
          <w:p w14:paraId="0B0CCE73" w14:textId="77777777" w:rsidR="0013696B" w:rsidRDefault="00202502">
            <w:pPr>
              <w:cnfStyle w:val="000000100000" w:firstRow="0" w:lastRow="0" w:firstColumn="0" w:lastColumn="0" w:oddVBand="0" w:evenVBand="0" w:oddHBand="1" w:evenHBand="0" w:firstRowFirstColumn="0" w:firstRowLastColumn="0" w:lastRowFirstColumn="0" w:lastRowLastColumn="0"/>
            </w:pPr>
            <w:r>
              <w:t>19.8</w:t>
            </w:r>
          </w:p>
        </w:tc>
        <w:tc>
          <w:tcPr>
            <w:tcW w:w="1440" w:type="dxa"/>
          </w:tcPr>
          <w:p w14:paraId="0558C329" w14:textId="77777777" w:rsidR="0013696B" w:rsidRDefault="00202502">
            <w:pPr>
              <w:cnfStyle w:val="000000100000" w:firstRow="0" w:lastRow="0" w:firstColumn="0" w:lastColumn="0" w:oddVBand="0" w:evenVBand="0" w:oddHBand="1" w:evenHBand="0" w:firstRowFirstColumn="0" w:firstRowLastColumn="0" w:lastRowFirstColumn="0" w:lastRowLastColumn="0"/>
            </w:pPr>
            <w:r>
              <w:t>8.6</w:t>
            </w:r>
          </w:p>
        </w:tc>
      </w:tr>
      <w:tr w:rsidR="0013696B" w14:paraId="79BD87F6" w14:textId="77777777" w:rsidTr="0013696B">
        <w:tc>
          <w:tcPr>
            <w:cnfStyle w:val="001000000000" w:firstRow="0" w:lastRow="0" w:firstColumn="1" w:lastColumn="0" w:oddVBand="0" w:evenVBand="0" w:oddHBand="0" w:evenHBand="0" w:firstRowFirstColumn="0" w:firstRowLastColumn="0" w:lastRowFirstColumn="0" w:lastRowLastColumn="0"/>
            <w:tcW w:w="1440" w:type="dxa"/>
          </w:tcPr>
          <w:p w14:paraId="72F3D4F8" w14:textId="77777777" w:rsidR="0013696B" w:rsidRDefault="00202502">
            <w:r>
              <w:t>2022.0</w:t>
            </w:r>
          </w:p>
        </w:tc>
        <w:tc>
          <w:tcPr>
            <w:tcW w:w="1440" w:type="dxa"/>
          </w:tcPr>
          <w:p w14:paraId="0F3E1832" w14:textId="77777777" w:rsidR="0013696B" w:rsidRDefault="00202502">
            <w:pPr>
              <w:cnfStyle w:val="000000000000" w:firstRow="0" w:lastRow="0" w:firstColumn="0" w:lastColumn="0" w:oddVBand="0" w:evenVBand="0" w:oddHBand="0" w:evenHBand="0" w:firstRowFirstColumn="0" w:firstRowLastColumn="0" w:lastRowFirstColumn="0" w:lastRowLastColumn="0"/>
            </w:pPr>
            <w:r>
              <w:t>152.7</w:t>
            </w:r>
          </w:p>
        </w:tc>
        <w:tc>
          <w:tcPr>
            <w:tcW w:w="1440" w:type="dxa"/>
          </w:tcPr>
          <w:p w14:paraId="5C32F16E" w14:textId="77777777" w:rsidR="0013696B" w:rsidRDefault="00202502">
            <w:pPr>
              <w:cnfStyle w:val="000000000000" w:firstRow="0" w:lastRow="0" w:firstColumn="0" w:lastColumn="0" w:oddVBand="0" w:evenVBand="0" w:oddHBand="0" w:evenHBand="0" w:firstRowFirstColumn="0" w:firstRowLastColumn="0" w:lastRowFirstColumn="0" w:lastRowLastColumn="0"/>
            </w:pPr>
            <w:r>
              <w:t>47.6</w:t>
            </w:r>
          </w:p>
        </w:tc>
        <w:tc>
          <w:tcPr>
            <w:tcW w:w="1440" w:type="dxa"/>
          </w:tcPr>
          <w:p w14:paraId="2964FCCD" w14:textId="77777777" w:rsidR="0013696B" w:rsidRDefault="00202502">
            <w:pPr>
              <w:cnfStyle w:val="000000000000" w:firstRow="0" w:lastRow="0" w:firstColumn="0" w:lastColumn="0" w:oddVBand="0" w:evenVBand="0" w:oddHBand="0" w:evenHBand="0" w:firstRowFirstColumn="0" w:firstRowLastColumn="0" w:lastRowFirstColumn="0" w:lastRowLastColumn="0"/>
            </w:pPr>
            <w:r>
              <w:t>79.2</w:t>
            </w:r>
          </w:p>
        </w:tc>
        <w:tc>
          <w:tcPr>
            <w:tcW w:w="1440" w:type="dxa"/>
          </w:tcPr>
          <w:p w14:paraId="22431745" w14:textId="77777777" w:rsidR="0013696B" w:rsidRDefault="00202502">
            <w:pPr>
              <w:cnfStyle w:val="000000000000" w:firstRow="0" w:lastRow="0" w:firstColumn="0" w:lastColumn="0" w:oddVBand="0" w:evenVBand="0" w:oddHBand="0" w:evenHBand="0" w:firstRowFirstColumn="0" w:firstRowLastColumn="0" w:lastRowFirstColumn="0" w:lastRowLastColumn="0"/>
            </w:pPr>
            <w:r>
              <w:t>25.9</w:t>
            </w:r>
          </w:p>
        </w:tc>
        <w:tc>
          <w:tcPr>
            <w:tcW w:w="1440" w:type="dxa"/>
          </w:tcPr>
          <w:p w14:paraId="02E080E5" w14:textId="77777777" w:rsidR="0013696B" w:rsidRDefault="00202502">
            <w:pPr>
              <w:cnfStyle w:val="000000000000" w:firstRow="0" w:lastRow="0" w:firstColumn="0" w:lastColumn="0" w:oddVBand="0" w:evenVBand="0" w:oddHBand="0" w:evenHBand="0" w:firstRowFirstColumn="0" w:firstRowLastColumn="0" w:lastRowFirstColumn="0" w:lastRowLastColumn="0"/>
            </w:pPr>
            <w:r>
              <w:t>11.2</w:t>
            </w:r>
          </w:p>
        </w:tc>
      </w:tr>
      <w:tr w:rsidR="0013696B" w14:paraId="1347E39B" w14:textId="77777777" w:rsidTr="00136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7715E01A" w14:textId="77777777" w:rsidR="0013696B" w:rsidRDefault="00202502">
            <w:r>
              <w:t>2023.0</w:t>
            </w:r>
          </w:p>
        </w:tc>
        <w:tc>
          <w:tcPr>
            <w:tcW w:w="1440" w:type="dxa"/>
          </w:tcPr>
          <w:p w14:paraId="1D434068" w14:textId="77777777" w:rsidR="0013696B" w:rsidRDefault="00202502">
            <w:pPr>
              <w:cnfStyle w:val="000000100000" w:firstRow="0" w:lastRow="0" w:firstColumn="0" w:lastColumn="0" w:oddVBand="0" w:evenVBand="0" w:oddHBand="1" w:evenHBand="0" w:firstRowFirstColumn="0" w:firstRowLastColumn="0" w:lastRowFirstColumn="0" w:lastRowLastColumn="0"/>
            </w:pPr>
            <w:r>
              <w:t>201.9</w:t>
            </w:r>
          </w:p>
        </w:tc>
        <w:tc>
          <w:tcPr>
            <w:tcW w:w="1440" w:type="dxa"/>
          </w:tcPr>
          <w:p w14:paraId="380A8C1B" w14:textId="77777777" w:rsidR="0013696B" w:rsidRDefault="00202502">
            <w:pPr>
              <w:cnfStyle w:val="000000100000" w:firstRow="0" w:lastRow="0" w:firstColumn="0" w:lastColumn="0" w:oddVBand="0" w:evenVBand="0" w:oddHBand="1" w:evenHBand="0" w:firstRowFirstColumn="0" w:firstRowLastColumn="0" w:lastRowFirstColumn="0" w:lastRowLastColumn="0"/>
            </w:pPr>
            <w:r>
              <w:t>64.2</w:t>
            </w:r>
          </w:p>
        </w:tc>
        <w:tc>
          <w:tcPr>
            <w:tcW w:w="1440" w:type="dxa"/>
          </w:tcPr>
          <w:p w14:paraId="07ADB5BD" w14:textId="77777777" w:rsidR="0013696B" w:rsidRDefault="00202502">
            <w:pPr>
              <w:cnfStyle w:val="000000100000" w:firstRow="0" w:lastRow="0" w:firstColumn="0" w:lastColumn="0" w:oddVBand="0" w:evenVBand="0" w:oddHBand="1" w:evenHBand="0" w:firstRowFirstColumn="0" w:firstRowLastColumn="0" w:lastRowFirstColumn="0" w:lastRowLastColumn="0"/>
            </w:pPr>
            <w:r>
              <w:t>99.0</w:t>
            </w:r>
          </w:p>
        </w:tc>
        <w:tc>
          <w:tcPr>
            <w:tcW w:w="1440" w:type="dxa"/>
          </w:tcPr>
          <w:p w14:paraId="2E21C38A" w14:textId="77777777" w:rsidR="0013696B" w:rsidRDefault="00202502">
            <w:pPr>
              <w:cnfStyle w:val="000000100000" w:firstRow="0" w:lastRow="0" w:firstColumn="0" w:lastColumn="0" w:oddVBand="0" w:evenVBand="0" w:oddHBand="1" w:evenHBand="0" w:firstRowFirstColumn="0" w:firstRowLastColumn="0" w:lastRowFirstColumn="0" w:lastRowLastColumn="0"/>
            </w:pPr>
            <w:r>
              <w:t>38.7</w:t>
            </w:r>
          </w:p>
        </w:tc>
        <w:tc>
          <w:tcPr>
            <w:tcW w:w="1440" w:type="dxa"/>
          </w:tcPr>
          <w:p w14:paraId="60576198" w14:textId="77777777" w:rsidR="0013696B" w:rsidRDefault="00202502">
            <w:pPr>
              <w:cnfStyle w:val="000000100000" w:firstRow="0" w:lastRow="0" w:firstColumn="0" w:lastColumn="0" w:oddVBand="0" w:evenVBand="0" w:oddHBand="1" w:evenHBand="0" w:firstRowFirstColumn="0" w:firstRowLastColumn="0" w:lastRowFirstColumn="0" w:lastRowLastColumn="0"/>
            </w:pPr>
            <w:r>
              <w:t>18.1</w:t>
            </w:r>
          </w:p>
        </w:tc>
      </w:tr>
      <w:tr w:rsidR="0013696B" w14:paraId="3D6401F2" w14:textId="77777777" w:rsidTr="0013696B">
        <w:tc>
          <w:tcPr>
            <w:cnfStyle w:val="001000000000" w:firstRow="0" w:lastRow="0" w:firstColumn="1" w:lastColumn="0" w:oddVBand="0" w:evenVBand="0" w:oddHBand="0" w:evenHBand="0" w:firstRowFirstColumn="0" w:firstRowLastColumn="0" w:lastRowFirstColumn="0" w:lastRowLastColumn="0"/>
            <w:tcW w:w="1440" w:type="dxa"/>
          </w:tcPr>
          <w:p w14:paraId="47F36D8D" w14:textId="77777777" w:rsidR="0013696B" w:rsidRDefault="00202502">
            <w:r>
              <w:t>2024.0</w:t>
            </w:r>
          </w:p>
        </w:tc>
        <w:tc>
          <w:tcPr>
            <w:tcW w:w="1440" w:type="dxa"/>
          </w:tcPr>
          <w:p w14:paraId="60BE958F" w14:textId="77777777" w:rsidR="0013696B" w:rsidRDefault="00202502">
            <w:pPr>
              <w:cnfStyle w:val="000000000000" w:firstRow="0" w:lastRow="0" w:firstColumn="0" w:lastColumn="0" w:oddVBand="0" w:evenVBand="0" w:oddHBand="0" w:evenHBand="0" w:firstRowFirstColumn="0" w:firstRowLastColumn="0" w:lastRowFirstColumn="0" w:lastRowLastColumn="0"/>
            </w:pPr>
            <w:r>
              <w:t>262.5</w:t>
            </w:r>
          </w:p>
        </w:tc>
        <w:tc>
          <w:tcPr>
            <w:tcW w:w="1440" w:type="dxa"/>
          </w:tcPr>
          <w:p w14:paraId="0A7C78E7" w14:textId="77777777" w:rsidR="0013696B" w:rsidRDefault="00202502">
            <w:pPr>
              <w:cnfStyle w:val="000000000000" w:firstRow="0" w:lastRow="0" w:firstColumn="0" w:lastColumn="0" w:oddVBand="0" w:evenVBand="0" w:oddHBand="0" w:evenHBand="0" w:firstRowFirstColumn="0" w:firstRowLastColumn="0" w:lastRowFirstColumn="0" w:lastRowLastColumn="0"/>
            </w:pPr>
            <w:r>
              <w:t>83.7</w:t>
            </w:r>
          </w:p>
        </w:tc>
        <w:tc>
          <w:tcPr>
            <w:tcW w:w="1440" w:type="dxa"/>
          </w:tcPr>
          <w:p w14:paraId="6436E33F" w14:textId="77777777" w:rsidR="0013696B" w:rsidRDefault="00202502">
            <w:pPr>
              <w:cnfStyle w:val="000000000000" w:firstRow="0" w:lastRow="0" w:firstColumn="0" w:lastColumn="0" w:oddVBand="0" w:evenVBand="0" w:oddHBand="0" w:evenHBand="0" w:firstRowFirstColumn="0" w:firstRowLastColumn="0" w:lastRowFirstColumn="0" w:lastRowLastColumn="0"/>
            </w:pPr>
            <w:r>
              <w:t>121.4</w:t>
            </w:r>
          </w:p>
        </w:tc>
        <w:tc>
          <w:tcPr>
            <w:tcW w:w="1440" w:type="dxa"/>
          </w:tcPr>
          <w:p w14:paraId="28B8E3F8" w14:textId="77777777" w:rsidR="0013696B" w:rsidRDefault="00202502">
            <w:pPr>
              <w:cnfStyle w:val="000000000000" w:firstRow="0" w:lastRow="0" w:firstColumn="0" w:lastColumn="0" w:oddVBand="0" w:evenVBand="0" w:oddHBand="0" w:evenHBand="0" w:firstRowFirstColumn="0" w:firstRowLastColumn="0" w:lastRowFirstColumn="0" w:lastRowLastColumn="0"/>
            </w:pPr>
            <w:r>
              <w:t>57.4</w:t>
            </w:r>
          </w:p>
        </w:tc>
        <w:tc>
          <w:tcPr>
            <w:tcW w:w="1440" w:type="dxa"/>
          </w:tcPr>
          <w:p w14:paraId="580E7324" w14:textId="77777777" w:rsidR="0013696B" w:rsidRDefault="00202502">
            <w:pPr>
              <w:cnfStyle w:val="000000000000" w:firstRow="0" w:lastRow="0" w:firstColumn="0" w:lastColumn="0" w:oddVBand="0" w:evenVBand="0" w:oddHBand="0" w:evenHBand="0" w:firstRowFirstColumn="0" w:firstRowLastColumn="0" w:lastRowFirstColumn="0" w:lastRowLastColumn="0"/>
            </w:pPr>
            <w:r>
              <w:t>28.3</w:t>
            </w:r>
          </w:p>
        </w:tc>
      </w:tr>
      <w:tr w:rsidR="0013696B" w14:paraId="4F3961C2" w14:textId="77777777" w:rsidTr="00136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40AB80E6" w14:textId="77777777" w:rsidR="0013696B" w:rsidRDefault="00202502">
            <w:r>
              <w:t>2025.0</w:t>
            </w:r>
          </w:p>
        </w:tc>
        <w:tc>
          <w:tcPr>
            <w:tcW w:w="1440" w:type="dxa"/>
          </w:tcPr>
          <w:p w14:paraId="0E7CC52F" w14:textId="77777777" w:rsidR="0013696B" w:rsidRDefault="00202502">
            <w:pPr>
              <w:cnfStyle w:val="000000100000" w:firstRow="0" w:lastRow="0" w:firstColumn="0" w:lastColumn="0" w:oddVBand="0" w:evenVBand="0" w:oddHBand="1" w:evenHBand="0" w:firstRowFirstColumn="0" w:firstRowLastColumn="0" w:lastRowFirstColumn="0" w:lastRowLastColumn="0"/>
            </w:pPr>
            <w:r>
              <w:t>324.8</w:t>
            </w:r>
          </w:p>
        </w:tc>
        <w:tc>
          <w:tcPr>
            <w:tcW w:w="1440" w:type="dxa"/>
          </w:tcPr>
          <w:p w14:paraId="63A55671" w14:textId="77777777" w:rsidR="0013696B" w:rsidRDefault="00202502">
            <w:pPr>
              <w:cnfStyle w:val="000000100000" w:firstRow="0" w:lastRow="0" w:firstColumn="0" w:lastColumn="0" w:oddVBand="0" w:evenVBand="0" w:oddHBand="1" w:evenHBand="0" w:firstRowFirstColumn="0" w:firstRowLastColumn="0" w:lastRowFirstColumn="0" w:lastRowLastColumn="0"/>
            </w:pPr>
            <w:r>
              <w:t>104.5</w:t>
            </w:r>
          </w:p>
        </w:tc>
        <w:tc>
          <w:tcPr>
            <w:tcW w:w="1440" w:type="dxa"/>
          </w:tcPr>
          <w:p w14:paraId="58F219FF" w14:textId="77777777" w:rsidR="0013696B" w:rsidRDefault="00202502">
            <w:pPr>
              <w:cnfStyle w:val="000000100000" w:firstRow="0" w:lastRow="0" w:firstColumn="0" w:lastColumn="0" w:oddVBand="0" w:evenVBand="0" w:oddHBand="1" w:evenHBand="0" w:firstRowFirstColumn="0" w:firstRowLastColumn="0" w:lastRowFirstColumn="0" w:lastRowLastColumn="0"/>
            </w:pPr>
            <w:r>
              <w:t>144.2</w:t>
            </w:r>
          </w:p>
        </w:tc>
        <w:tc>
          <w:tcPr>
            <w:tcW w:w="1440" w:type="dxa"/>
          </w:tcPr>
          <w:p w14:paraId="5ADC2985" w14:textId="77777777" w:rsidR="0013696B" w:rsidRDefault="00202502">
            <w:pPr>
              <w:cnfStyle w:val="000000100000" w:firstRow="0" w:lastRow="0" w:firstColumn="0" w:lastColumn="0" w:oddVBand="0" w:evenVBand="0" w:oddHBand="1" w:evenHBand="0" w:firstRowFirstColumn="0" w:firstRowLastColumn="0" w:lastRowFirstColumn="0" w:lastRowLastColumn="0"/>
            </w:pPr>
            <w:r>
              <w:t>76.1</w:t>
            </w:r>
          </w:p>
        </w:tc>
        <w:tc>
          <w:tcPr>
            <w:tcW w:w="1440" w:type="dxa"/>
          </w:tcPr>
          <w:p w14:paraId="4B31C402" w14:textId="77777777" w:rsidR="0013696B" w:rsidRDefault="00202502">
            <w:pPr>
              <w:cnfStyle w:val="000000100000" w:firstRow="0" w:lastRow="0" w:firstColumn="0" w:lastColumn="0" w:oddVBand="0" w:evenVBand="0" w:oddHBand="1" w:evenHBand="0" w:firstRowFirstColumn="0" w:firstRowLastColumn="0" w:lastRowFirstColumn="0" w:lastRowLastColumn="0"/>
            </w:pPr>
            <w:r>
              <w:t>38.9</w:t>
            </w:r>
          </w:p>
        </w:tc>
      </w:tr>
    </w:tbl>
    <w:p w14:paraId="676831EE" w14:textId="77777777" w:rsidR="0013696B" w:rsidRDefault="0013696B"/>
    <w:p w14:paraId="23506B3A" w14:textId="77777777" w:rsidR="0013696B" w:rsidRDefault="00202502">
      <w:r>
        <w:t>Revenue streams: SaaS (Essential 28%, Growth 26%, Enterprise 18%), Cloud Services 18%, Consulting 10%. Gross margin improved from 69% (2021) to 68% (2025) (mix shift to cloud services slightly offsets SaaS margin gains). Operating margin expanded from 16.7% to 23.4%. Liquidity remains strong with cash and equivalents at $112mm (Oct 2025), debt $85mm (net debt $-27mm).</w:t>
      </w:r>
    </w:p>
    <w:p w14:paraId="5F2E5BE5" w14:textId="77777777" w:rsidR="0013696B" w:rsidRDefault="00202502">
      <w:r>
        <w:rPr>
          <w:noProof/>
        </w:rPr>
        <w:drawing>
          <wp:inline distT="0" distB="0" distL="0" distR="0" wp14:anchorId="79F83BF9" wp14:editId="4321B744">
            <wp:extent cx="5303520" cy="2651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cial_trend.png"/>
                    <pic:cNvPicPr/>
                  </pic:nvPicPr>
                  <pic:blipFill>
                    <a:blip r:embed="rId9"/>
                    <a:stretch>
                      <a:fillRect/>
                    </a:stretch>
                  </pic:blipFill>
                  <pic:spPr>
                    <a:xfrm>
                      <a:off x="0" y="0"/>
                      <a:ext cx="5303520" cy="2651760"/>
                    </a:xfrm>
                    <a:prstGeom prst="rect">
                      <a:avLst/>
                    </a:prstGeom>
                  </pic:spPr>
                </pic:pic>
              </a:graphicData>
            </a:graphic>
          </wp:inline>
        </w:drawing>
      </w:r>
    </w:p>
    <w:p w14:paraId="10885981" w14:textId="77777777" w:rsidR="0013696B" w:rsidRDefault="00202502">
      <w:pPr>
        <w:pStyle w:val="berschrift1"/>
      </w:pPr>
      <w:r>
        <w:t>4. Customer and Sales Insights</w:t>
      </w:r>
    </w:p>
    <w:tbl>
      <w:tblPr>
        <w:tblStyle w:val="HelleListe-Akzent1"/>
        <w:tblW w:w="0" w:type="auto"/>
        <w:tblLook w:val="04A0" w:firstRow="1" w:lastRow="0" w:firstColumn="1" w:lastColumn="0" w:noHBand="0" w:noVBand="1"/>
      </w:tblPr>
      <w:tblGrid>
        <w:gridCol w:w="4320"/>
        <w:gridCol w:w="4320"/>
      </w:tblGrid>
      <w:tr w:rsidR="0013696B" w14:paraId="33F832EB" w14:textId="77777777" w:rsidTr="00136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9DE6043" w14:textId="77777777" w:rsidR="0013696B" w:rsidRDefault="00202502">
            <w:r>
              <w:t>Metric</w:t>
            </w:r>
          </w:p>
        </w:tc>
        <w:tc>
          <w:tcPr>
            <w:tcW w:w="4320" w:type="dxa"/>
          </w:tcPr>
          <w:p w14:paraId="431FBF3C" w14:textId="77777777" w:rsidR="0013696B" w:rsidRDefault="00202502">
            <w:pPr>
              <w:cnfStyle w:val="100000000000" w:firstRow="1" w:lastRow="0" w:firstColumn="0" w:lastColumn="0" w:oddVBand="0" w:evenVBand="0" w:oddHBand="0" w:evenHBand="0" w:firstRowFirstColumn="0" w:firstRowLastColumn="0" w:lastRowFirstColumn="0" w:lastRowLastColumn="0"/>
            </w:pPr>
            <w:r>
              <w:t>Value</w:t>
            </w:r>
          </w:p>
        </w:tc>
      </w:tr>
      <w:tr w:rsidR="0013696B" w14:paraId="6C7A73E5" w14:textId="77777777" w:rsidTr="00136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3C63E35" w14:textId="77777777" w:rsidR="0013696B" w:rsidRDefault="00202502">
            <w:r>
              <w:t>Total Customers</w:t>
            </w:r>
          </w:p>
        </w:tc>
        <w:tc>
          <w:tcPr>
            <w:tcW w:w="4320" w:type="dxa"/>
          </w:tcPr>
          <w:p w14:paraId="774D531D" w14:textId="77777777" w:rsidR="0013696B" w:rsidRDefault="00202502">
            <w:pPr>
              <w:cnfStyle w:val="000000100000" w:firstRow="0" w:lastRow="0" w:firstColumn="0" w:lastColumn="0" w:oddVBand="0" w:evenVBand="0" w:oddHBand="1" w:evenHBand="0" w:firstRowFirstColumn="0" w:firstRowLastColumn="0" w:lastRowFirstColumn="0" w:lastRowLastColumn="0"/>
            </w:pPr>
            <w:r>
              <w:t>2,480</w:t>
            </w:r>
          </w:p>
        </w:tc>
      </w:tr>
      <w:tr w:rsidR="0013696B" w14:paraId="32542C04" w14:textId="77777777" w:rsidTr="0013696B">
        <w:tc>
          <w:tcPr>
            <w:cnfStyle w:val="001000000000" w:firstRow="0" w:lastRow="0" w:firstColumn="1" w:lastColumn="0" w:oddVBand="0" w:evenVBand="0" w:oddHBand="0" w:evenHBand="0" w:firstRowFirstColumn="0" w:firstRowLastColumn="0" w:lastRowFirstColumn="0" w:lastRowLastColumn="0"/>
            <w:tcW w:w="4320" w:type="dxa"/>
          </w:tcPr>
          <w:p w14:paraId="30BD1BD7" w14:textId="77777777" w:rsidR="0013696B" w:rsidRDefault="00202502">
            <w:r>
              <w:t>Enterprise Accounts</w:t>
            </w:r>
          </w:p>
        </w:tc>
        <w:tc>
          <w:tcPr>
            <w:tcW w:w="4320" w:type="dxa"/>
          </w:tcPr>
          <w:p w14:paraId="61E1E67D" w14:textId="77777777" w:rsidR="0013696B" w:rsidRDefault="00202502">
            <w:pPr>
              <w:cnfStyle w:val="000000000000" w:firstRow="0" w:lastRow="0" w:firstColumn="0" w:lastColumn="0" w:oddVBand="0" w:evenVBand="0" w:oddHBand="0" w:evenHBand="0" w:firstRowFirstColumn="0" w:firstRowLastColumn="0" w:lastRowFirstColumn="0" w:lastRowLastColumn="0"/>
            </w:pPr>
            <w:r>
              <w:t>410 (17%)</w:t>
            </w:r>
          </w:p>
        </w:tc>
      </w:tr>
      <w:tr w:rsidR="0013696B" w14:paraId="1CFC9394" w14:textId="77777777" w:rsidTr="00136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22970CA" w14:textId="77777777" w:rsidR="0013696B" w:rsidRDefault="00202502">
            <w:r>
              <w:t>SMB/Commercial</w:t>
            </w:r>
          </w:p>
        </w:tc>
        <w:tc>
          <w:tcPr>
            <w:tcW w:w="4320" w:type="dxa"/>
          </w:tcPr>
          <w:p w14:paraId="6AD8DF54" w14:textId="77777777" w:rsidR="0013696B" w:rsidRDefault="00202502">
            <w:pPr>
              <w:cnfStyle w:val="000000100000" w:firstRow="0" w:lastRow="0" w:firstColumn="0" w:lastColumn="0" w:oddVBand="0" w:evenVBand="0" w:oddHBand="1" w:evenHBand="0" w:firstRowFirstColumn="0" w:firstRowLastColumn="0" w:lastRowFirstColumn="0" w:lastRowLastColumn="0"/>
            </w:pPr>
            <w:r>
              <w:t>2,070 (83%)</w:t>
            </w:r>
          </w:p>
        </w:tc>
      </w:tr>
      <w:tr w:rsidR="0013696B" w14:paraId="71B0B574" w14:textId="77777777" w:rsidTr="0013696B">
        <w:tc>
          <w:tcPr>
            <w:cnfStyle w:val="001000000000" w:firstRow="0" w:lastRow="0" w:firstColumn="1" w:lastColumn="0" w:oddVBand="0" w:evenVBand="0" w:oddHBand="0" w:evenHBand="0" w:firstRowFirstColumn="0" w:firstRowLastColumn="0" w:lastRowFirstColumn="0" w:lastRowLastColumn="0"/>
            <w:tcW w:w="4320" w:type="dxa"/>
          </w:tcPr>
          <w:p w14:paraId="20B64433" w14:textId="77777777" w:rsidR="0013696B" w:rsidRDefault="00202502">
            <w:r>
              <w:t>Top 10 Customer % of Revenue</w:t>
            </w:r>
          </w:p>
        </w:tc>
        <w:tc>
          <w:tcPr>
            <w:tcW w:w="4320" w:type="dxa"/>
          </w:tcPr>
          <w:p w14:paraId="0B630B2F" w14:textId="77777777" w:rsidR="0013696B" w:rsidRDefault="00202502">
            <w:pPr>
              <w:cnfStyle w:val="000000000000" w:firstRow="0" w:lastRow="0" w:firstColumn="0" w:lastColumn="0" w:oddVBand="0" w:evenVBand="0" w:oddHBand="0" w:evenHBand="0" w:firstRowFirstColumn="0" w:firstRowLastColumn="0" w:lastRowFirstColumn="0" w:lastRowLastColumn="0"/>
            </w:pPr>
            <w:r>
              <w:t>31%</w:t>
            </w:r>
          </w:p>
        </w:tc>
      </w:tr>
      <w:tr w:rsidR="0013696B" w14:paraId="15C20133" w14:textId="77777777" w:rsidTr="00136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32E29DD" w14:textId="77777777" w:rsidR="0013696B" w:rsidRDefault="00202502">
            <w:r>
              <w:t>Renewal Rate (SaaS)</w:t>
            </w:r>
          </w:p>
        </w:tc>
        <w:tc>
          <w:tcPr>
            <w:tcW w:w="4320" w:type="dxa"/>
          </w:tcPr>
          <w:p w14:paraId="3D08CD8A" w14:textId="77777777" w:rsidR="0013696B" w:rsidRDefault="00202502">
            <w:pPr>
              <w:cnfStyle w:val="000000100000" w:firstRow="0" w:lastRow="0" w:firstColumn="0" w:lastColumn="0" w:oddVBand="0" w:evenVBand="0" w:oddHBand="1" w:evenHBand="0" w:firstRowFirstColumn="0" w:firstRowLastColumn="0" w:lastRowFirstColumn="0" w:lastRowLastColumn="0"/>
            </w:pPr>
            <w:r>
              <w:t>92%</w:t>
            </w:r>
          </w:p>
        </w:tc>
      </w:tr>
      <w:tr w:rsidR="0013696B" w14:paraId="56D9B912" w14:textId="77777777" w:rsidTr="0013696B">
        <w:tc>
          <w:tcPr>
            <w:cnfStyle w:val="001000000000" w:firstRow="0" w:lastRow="0" w:firstColumn="1" w:lastColumn="0" w:oddVBand="0" w:evenVBand="0" w:oddHBand="0" w:evenHBand="0" w:firstRowFirstColumn="0" w:firstRowLastColumn="0" w:lastRowFirstColumn="0" w:lastRowLastColumn="0"/>
            <w:tcW w:w="4320" w:type="dxa"/>
          </w:tcPr>
          <w:p w14:paraId="4EB4C1BE" w14:textId="77777777" w:rsidR="0013696B" w:rsidRDefault="00202502">
            <w:r>
              <w:t>Churn (Logo)</w:t>
            </w:r>
          </w:p>
        </w:tc>
        <w:tc>
          <w:tcPr>
            <w:tcW w:w="4320" w:type="dxa"/>
          </w:tcPr>
          <w:p w14:paraId="0779630E" w14:textId="77777777" w:rsidR="0013696B" w:rsidRDefault="00202502">
            <w:pPr>
              <w:cnfStyle w:val="000000000000" w:firstRow="0" w:lastRow="0" w:firstColumn="0" w:lastColumn="0" w:oddVBand="0" w:evenVBand="0" w:oddHBand="0" w:evenHBand="0" w:firstRowFirstColumn="0" w:firstRowLastColumn="0" w:lastRowFirstColumn="0" w:lastRowLastColumn="0"/>
            </w:pPr>
            <w:r>
              <w:t>6.8%</w:t>
            </w:r>
          </w:p>
        </w:tc>
      </w:tr>
      <w:tr w:rsidR="0013696B" w14:paraId="4B2AB11A" w14:textId="77777777" w:rsidTr="00136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99DCF16" w14:textId="77777777" w:rsidR="0013696B" w:rsidRDefault="00202502">
            <w:r>
              <w:t>NPS</w:t>
            </w:r>
          </w:p>
        </w:tc>
        <w:tc>
          <w:tcPr>
            <w:tcW w:w="4320" w:type="dxa"/>
          </w:tcPr>
          <w:p w14:paraId="361E803F" w14:textId="77777777" w:rsidR="0013696B" w:rsidRDefault="00202502">
            <w:pPr>
              <w:cnfStyle w:val="000000100000" w:firstRow="0" w:lastRow="0" w:firstColumn="0" w:lastColumn="0" w:oddVBand="0" w:evenVBand="0" w:oddHBand="1" w:evenHBand="0" w:firstRowFirstColumn="0" w:firstRowLastColumn="0" w:lastRowFirstColumn="0" w:lastRowLastColumn="0"/>
            </w:pPr>
            <w:r>
              <w:t>46</w:t>
            </w:r>
          </w:p>
        </w:tc>
      </w:tr>
      <w:tr w:rsidR="0013696B" w14:paraId="23BF5BE4" w14:textId="77777777" w:rsidTr="0013696B">
        <w:tc>
          <w:tcPr>
            <w:cnfStyle w:val="001000000000" w:firstRow="0" w:lastRow="0" w:firstColumn="1" w:lastColumn="0" w:oddVBand="0" w:evenVBand="0" w:oddHBand="0" w:evenHBand="0" w:firstRowFirstColumn="0" w:firstRowLastColumn="0" w:lastRowFirstColumn="0" w:lastRowLastColumn="0"/>
            <w:tcW w:w="4320" w:type="dxa"/>
          </w:tcPr>
          <w:p w14:paraId="3FD8FF79" w14:textId="77777777" w:rsidR="0013696B" w:rsidRDefault="00202502">
            <w:r>
              <w:t>Avg Sales Cycle (days)</w:t>
            </w:r>
          </w:p>
        </w:tc>
        <w:tc>
          <w:tcPr>
            <w:tcW w:w="4320" w:type="dxa"/>
          </w:tcPr>
          <w:p w14:paraId="02CD944F" w14:textId="77777777" w:rsidR="0013696B" w:rsidRDefault="00202502">
            <w:pPr>
              <w:cnfStyle w:val="000000000000" w:firstRow="0" w:lastRow="0" w:firstColumn="0" w:lastColumn="0" w:oddVBand="0" w:evenVBand="0" w:oddHBand="0" w:evenHBand="0" w:firstRowFirstColumn="0" w:firstRowLastColumn="0" w:lastRowFirstColumn="0" w:lastRowLastColumn="0"/>
            </w:pPr>
            <w:r>
              <w:t>74</w:t>
            </w:r>
          </w:p>
        </w:tc>
      </w:tr>
      <w:tr w:rsidR="0013696B" w14:paraId="6813B7F4" w14:textId="77777777" w:rsidTr="00136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F34EE5A" w14:textId="77777777" w:rsidR="0013696B" w:rsidRDefault="00202502">
            <w:r>
              <w:t>Pipeline (USD mm)</w:t>
            </w:r>
          </w:p>
        </w:tc>
        <w:tc>
          <w:tcPr>
            <w:tcW w:w="4320" w:type="dxa"/>
          </w:tcPr>
          <w:p w14:paraId="2CA8F034" w14:textId="77777777" w:rsidR="0013696B" w:rsidRDefault="00202502">
            <w:pPr>
              <w:cnfStyle w:val="000000100000" w:firstRow="0" w:lastRow="0" w:firstColumn="0" w:lastColumn="0" w:oddVBand="0" w:evenVBand="0" w:oddHBand="1" w:evenHBand="0" w:firstRowFirstColumn="0" w:firstRowLastColumn="0" w:lastRowFirstColumn="0" w:lastRowLastColumn="0"/>
            </w:pPr>
            <w:r>
              <w:t>182</w:t>
            </w:r>
          </w:p>
        </w:tc>
      </w:tr>
      <w:tr w:rsidR="0013696B" w14:paraId="046B2D65" w14:textId="77777777" w:rsidTr="0013696B">
        <w:tc>
          <w:tcPr>
            <w:cnfStyle w:val="001000000000" w:firstRow="0" w:lastRow="0" w:firstColumn="1" w:lastColumn="0" w:oddVBand="0" w:evenVBand="0" w:oddHBand="0" w:evenHBand="0" w:firstRowFirstColumn="0" w:firstRowLastColumn="0" w:lastRowFirstColumn="0" w:lastRowLastColumn="0"/>
            <w:tcW w:w="4320" w:type="dxa"/>
          </w:tcPr>
          <w:p w14:paraId="57850D44" w14:textId="77777777" w:rsidR="0013696B" w:rsidRDefault="00202502">
            <w:r>
              <w:lastRenderedPageBreak/>
              <w:t>Win Rate %</w:t>
            </w:r>
          </w:p>
        </w:tc>
        <w:tc>
          <w:tcPr>
            <w:tcW w:w="4320" w:type="dxa"/>
          </w:tcPr>
          <w:p w14:paraId="265ACCAF" w14:textId="77777777" w:rsidR="0013696B" w:rsidRDefault="00202502">
            <w:pPr>
              <w:cnfStyle w:val="000000000000" w:firstRow="0" w:lastRow="0" w:firstColumn="0" w:lastColumn="0" w:oddVBand="0" w:evenVBand="0" w:oddHBand="0" w:evenHBand="0" w:firstRowFirstColumn="0" w:firstRowLastColumn="0" w:lastRowFirstColumn="0" w:lastRowLastColumn="0"/>
            </w:pPr>
            <w:r>
              <w:t>29%</w:t>
            </w:r>
          </w:p>
        </w:tc>
      </w:tr>
    </w:tbl>
    <w:p w14:paraId="1EB92AAC" w14:textId="77777777" w:rsidR="0013696B" w:rsidRDefault="0013696B"/>
    <w:p w14:paraId="40A6DE0E" w14:textId="77777777" w:rsidR="0013696B" w:rsidRDefault="00202502">
      <w:r>
        <w:t>Sales Model: 60% direct, 25% channel partners, 15% online self-serve. EMEA contributes 54% of ARR, NA 36%, APJ 10%. Customer loyalty is driven by compliance templates and rapid ROI.</w:t>
      </w:r>
    </w:p>
    <w:p w14:paraId="5CA18332" w14:textId="77777777" w:rsidR="0013696B" w:rsidRDefault="00202502">
      <w:r>
        <w:rPr>
          <w:noProof/>
        </w:rPr>
        <w:drawing>
          <wp:inline distT="0" distB="0" distL="0" distR="0" wp14:anchorId="7F80969F" wp14:editId="031F59B0">
            <wp:extent cx="3840480" cy="3840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er_composition.png"/>
                    <pic:cNvPicPr/>
                  </pic:nvPicPr>
                  <pic:blipFill>
                    <a:blip r:embed="rId10"/>
                    <a:stretch>
                      <a:fillRect/>
                    </a:stretch>
                  </pic:blipFill>
                  <pic:spPr>
                    <a:xfrm>
                      <a:off x="0" y="0"/>
                      <a:ext cx="3840480" cy="3840480"/>
                    </a:xfrm>
                    <a:prstGeom prst="rect">
                      <a:avLst/>
                    </a:prstGeom>
                  </pic:spPr>
                </pic:pic>
              </a:graphicData>
            </a:graphic>
          </wp:inline>
        </w:drawing>
      </w:r>
    </w:p>
    <w:p w14:paraId="3B32F346" w14:textId="77777777" w:rsidR="0013696B" w:rsidRDefault="00202502">
      <w:pPr>
        <w:pStyle w:val="berschrift1"/>
      </w:pPr>
      <w:r>
        <w:t>5. Operations and Capabilities</w:t>
      </w:r>
    </w:p>
    <w:p w14:paraId="2CABA3AA" w14:textId="77777777" w:rsidR="0013696B" w:rsidRDefault="00202502">
      <w:r>
        <w:t>Organizational Structure: Product (420), Engineering (310), Security &amp; Compliance (90), Sales (160), Marketing (70), Customer Success (80), G&amp;A (20). Leadership operates with OKRs, quarterly portfolio reviews, and DevSecOps practices.</w:t>
      </w:r>
    </w:p>
    <w:tbl>
      <w:tblPr>
        <w:tblStyle w:val="HelleListe-Akzent1"/>
        <w:tblW w:w="0" w:type="auto"/>
        <w:tblLook w:val="04A0" w:firstRow="1" w:lastRow="0" w:firstColumn="1" w:lastColumn="0" w:noHBand="0" w:noVBand="1"/>
      </w:tblPr>
      <w:tblGrid>
        <w:gridCol w:w="4320"/>
        <w:gridCol w:w="4320"/>
      </w:tblGrid>
      <w:tr w:rsidR="0013696B" w14:paraId="6582C98C" w14:textId="77777777" w:rsidTr="00136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FB2856D" w14:textId="77777777" w:rsidR="0013696B" w:rsidRDefault="00202502">
            <w:r>
              <w:t>Operational KPI</w:t>
            </w:r>
          </w:p>
        </w:tc>
        <w:tc>
          <w:tcPr>
            <w:tcW w:w="4320" w:type="dxa"/>
          </w:tcPr>
          <w:p w14:paraId="0EB58A2E" w14:textId="77777777" w:rsidR="0013696B" w:rsidRDefault="00202502">
            <w:pPr>
              <w:cnfStyle w:val="100000000000" w:firstRow="1" w:lastRow="0" w:firstColumn="0" w:lastColumn="0" w:oddVBand="0" w:evenVBand="0" w:oddHBand="0" w:evenHBand="0" w:firstRowFirstColumn="0" w:firstRowLastColumn="0" w:lastRowFirstColumn="0" w:lastRowLastColumn="0"/>
            </w:pPr>
            <w:r>
              <w:t>Current</w:t>
            </w:r>
          </w:p>
        </w:tc>
      </w:tr>
      <w:tr w:rsidR="0013696B" w14:paraId="4CDC981B" w14:textId="77777777" w:rsidTr="00136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57ADA98" w14:textId="77777777" w:rsidR="0013696B" w:rsidRDefault="00202502">
            <w:r>
              <w:t>Release Frequency (per month)</w:t>
            </w:r>
          </w:p>
        </w:tc>
        <w:tc>
          <w:tcPr>
            <w:tcW w:w="4320" w:type="dxa"/>
          </w:tcPr>
          <w:p w14:paraId="3520F826" w14:textId="77777777" w:rsidR="0013696B" w:rsidRDefault="00202502">
            <w:pPr>
              <w:cnfStyle w:val="000000100000" w:firstRow="0" w:lastRow="0" w:firstColumn="0" w:lastColumn="0" w:oddVBand="0" w:evenVBand="0" w:oddHBand="1" w:evenHBand="0" w:firstRowFirstColumn="0" w:firstRowLastColumn="0" w:lastRowFirstColumn="0" w:lastRowLastColumn="0"/>
            </w:pPr>
            <w:r>
              <w:t>10–12</w:t>
            </w:r>
          </w:p>
        </w:tc>
      </w:tr>
      <w:tr w:rsidR="0013696B" w14:paraId="576C1698" w14:textId="77777777" w:rsidTr="0013696B">
        <w:tc>
          <w:tcPr>
            <w:cnfStyle w:val="001000000000" w:firstRow="0" w:lastRow="0" w:firstColumn="1" w:lastColumn="0" w:oddVBand="0" w:evenVBand="0" w:oddHBand="0" w:evenHBand="0" w:firstRowFirstColumn="0" w:firstRowLastColumn="0" w:lastRowFirstColumn="0" w:lastRowLastColumn="0"/>
            <w:tcW w:w="4320" w:type="dxa"/>
          </w:tcPr>
          <w:p w14:paraId="45C41688" w14:textId="77777777" w:rsidR="0013696B" w:rsidRDefault="00202502">
            <w:r>
              <w:t>Mean Time to Restore (MTTR)</w:t>
            </w:r>
          </w:p>
        </w:tc>
        <w:tc>
          <w:tcPr>
            <w:tcW w:w="4320" w:type="dxa"/>
          </w:tcPr>
          <w:p w14:paraId="0EA12744" w14:textId="77777777" w:rsidR="0013696B" w:rsidRDefault="00202502">
            <w:pPr>
              <w:cnfStyle w:val="000000000000" w:firstRow="0" w:lastRow="0" w:firstColumn="0" w:lastColumn="0" w:oddVBand="0" w:evenVBand="0" w:oddHBand="0" w:evenHBand="0" w:firstRowFirstColumn="0" w:firstRowLastColumn="0" w:lastRowFirstColumn="0" w:lastRowLastColumn="0"/>
            </w:pPr>
            <w:r>
              <w:t>34 mins</w:t>
            </w:r>
          </w:p>
        </w:tc>
      </w:tr>
      <w:tr w:rsidR="0013696B" w14:paraId="68927B92" w14:textId="77777777" w:rsidTr="00136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8ABBC94" w14:textId="77777777" w:rsidR="0013696B" w:rsidRDefault="00202502">
            <w:r>
              <w:t>Change Failure Rate</w:t>
            </w:r>
          </w:p>
        </w:tc>
        <w:tc>
          <w:tcPr>
            <w:tcW w:w="4320" w:type="dxa"/>
          </w:tcPr>
          <w:p w14:paraId="1F6E612B" w14:textId="77777777" w:rsidR="0013696B" w:rsidRDefault="00202502">
            <w:pPr>
              <w:cnfStyle w:val="000000100000" w:firstRow="0" w:lastRow="0" w:firstColumn="0" w:lastColumn="0" w:oddVBand="0" w:evenVBand="0" w:oddHBand="1" w:evenHBand="0" w:firstRowFirstColumn="0" w:firstRowLastColumn="0" w:lastRowFirstColumn="0" w:lastRowLastColumn="0"/>
            </w:pPr>
            <w:r>
              <w:t>2.1%</w:t>
            </w:r>
          </w:p>
        </w:tc>
      </w:tr>
      <w:tr w:rsidR="0013696B" w14:paraId="25A23308" w14:textId="77777777" w:rsidTr="0013696B">
        <w:tc>
          <w:tcPr>
            <w:cnfStyle w:val="001000000000" w:firstRow="0" w:lastRow="0" w:firstColumn="1" w:lastColumn="0" w:oddVBand="0" w:evenVBand="0" w:oddHBand="0" w:evenHBand="0" w:firstRowFirstColumn="0" w:firstRowLastColumn="0" w:lastRowFirstColumn="0" w:lastRowLastColumn="0"/>
            <w:tcW w:w="4320" w:type="dxa"/>
          </w:tcPr>
          <w:p w14:paraId="569B7EC8" w14:textId="77777777" w:rsidR="0013696B" w:rsidRDefault="00202502">
            <w:r>
              <w:t>Support First Response (mins)</w:t>
            </w:r>
          </w:p>
        </w:tc>
        <w:tc>
          <w:tcPr>
            <w:tcW w:w="4320" w:type="dxa"/>
          </w:tcPr>
          <w:p w14:paraId="265BAA55" w14:textId="77777777" w:rsidR="0013696B" w:rsidRDefault="00202502">
            <w:pPr>
              <w:cnfStyle w:val="000000000000" w:firstRow="0" w:lastRow="0" w:firstColumn="0" w:lastColumn="0" w:oddVBand="0" w:evenVBand="0" w:oddHBand="0" w:evenHBand="0" w:firstRowFirstColumn="0" w:firstRowLastColumn="0" w:lastRowFirstColumn="0" w:lastRowLastColumn="0"/>
            </w:pPr>
            <w:r>
              <w:t>19</w:t>
            </w:r>
          </w:p>
        </w:tc>
      </w:tr>
      <w:tr w:rsidR="0013696B" w14:paraId="2C5F2134" w14:textId="77777777" w:rsidTr="00136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A8C7D91" w14:textId="77777777" w:rsidR="0013696B" w:rsidRDefault="00202502">
            <w:r>
              <w:t>SLA Uptime</w:t>
            </w:r>
          </w:p>
        </w:tc>
        <w:tc>
          <w:tcPr>
            <w:tcW w:w="4320" w:type="dxa"/>
          </w:tcPr>
          <w:p w14:paraId="5AB9FE56" w14:textId="77777777" w:rsidR="0013696B" w:rsidRDefault="00202502">
            <w:pPr>
              <w:cnfStyle w:val="000000100000" w:firstRow="0" w:lastRow="0" w:firstColumn="0" w:lastColumn="0" w:oddVBand="0" w:evenVBand="0" w:oddHBand="1" w:evenHBand="0" w:firstRowFirstColumn="0" w:firstRowLastColumn="0" w:lastRowFirstColumn="0" w:lastRowLastColumn="0"/>
            </w:pPr>
            <w:r>
              <w:t>99.92%</w:t>
            </w:r>
          </w:p>
        </w:tc>
      </w:tr>
    </w:tbl>
    <w:p w14:paraId="58899A50" w14:textId="77777777" w:rsidR="0013696B" w:rsidRDefault="0013696B"/>
    <w:p w14:paraId="31F1C169" w14:textId="77777777" w:rsidR="0013696B" w:rsidRDefault="00202502">
      <w:r>
        <w:t xml:space="preserve">Technology Infrastructure: Multi-cloud (Azure, AWS), Kubernetes-based microservices, data platform (Azure Synapse), observability (OpenTelemetry + proprietary Insight), strong </w:t>
      </w:r>
      <w:r>
        <w:lastRenderedPageBreak/>
        <w:t>cybersecurity posture (SOC 2 Type II, ISO 27001). IP includes orchestration heuristics and policy engines.</w:t>
      </w:r>
    </w:p>
    <w:p w14:paraId="2295A486" w14:textId="1A04E0F0" w:rsidR="0013696B" w:rsidRDefault="00CD5FFF">
      <w:r>
        <w:rPr>
          <w:noProof/>
        </w:rPr>
        <w:drawing>
          <wp:inline distT="0" distB="0" distL="0" distR="0" wp14:anchorId="48360B90" wp14:editId="3C8781EA">
            <wp:extent cx="5486400" cy="1781810"/>
            <wp:effectExtent l="0" t="0" r="0" b="8890"/>
            <wp:docPr id="1736903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903826" name="Picture 1736903826"/>
                    <pic:cNvPicPr/>
                  </pic:nvPicPr>
                  <pic:blipFill>
                    <a:blip r:embed="rId11"/>
                    <a:stretch>
                      <a:fillRect/>
                    </a:stretch>
                  </pic:blipFill>
                  <pic:spPr>
                    <a:xfrm>
                      <a:off x="0" y="0"/>
                      <a:ext cx="5486400" cy="1781810"/>
                    </a:xfrm>
                    <a:prstGeom prst="rect">
                      <a:avLst/>
                    </a:prstGeom>
                  </pic:spPr>
                </pic:pic>
              </a:graphicData>
            </a:graphic>
          </wp:inline>
        </w:drawing>
      </w:r>
    </w:p>
    <w:p w14:paraId="61D5782D" w14:textId="77777777" w:rsidR="0013696B" w:rsidRDefault="00202502">
      <w:pPr>
        <w:pStyle w:val="berschrift1"/>
      </w:pPr>
      <w:r>
        <w:t>6. Intellectual Property and Product Roadmap</w:t>
      </w:r>
    </w:p>
    <w:tbl>
      <w:tblPr>
        <w:tblStyle w:val="HelleListe-Akzent1"/>
        <w:tblW w:w="0" w:type="auto"/>
        <w:tblLook w:val="04A0" w:firstRow="1" w:lastRow="0" w:firstColumn="1" w:lastColumn="0" w:noHBand="0" w:noVBand="1"/>
      </w:tblPr>
      <w:tblGrid>
        <w:gridCol w:w="2880"/>
        <w:gridCol w:w="2880"/>
        <w:gridCol w:w="2880"/>
      </w:tblGrid>
      <w:tr w:rsidR="0013696B" w14:paraId="5F93475B" w14:textId="77777777" w:rsidTr="00136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5704BD6" w14:textId="77777777" w:rsidR="0013696B" w:rsidRDefault="00202502">
            <w:r>
              <w:t>Asset</w:t>
            </w:r>
          </w:p>
        </w:tc>
        <w:tc>
          <w:tcPr>
            <w:tcW w:w="2880" w:type="dxa"/>
          </w:tcPr>
          <w:p w14:paraId="501A2363" w14:textId="77777777" w:rsidR="0013696B" w:rsidRDefault="00202502">
            <w:pPr>
              <w:cnfStyle w:val="100000000000" w:firstRow="1" w:lastRow="0" w:firstColumn="0" w:lastColumn="0" w:oddVBand="0" w:evenVBand="0" w:oddHBand="0" w:evenHBand="0" w:firstRowFirstColumn="0" w:firstRowLastColumn="0" w:lastRowFirstColumn="0" w:lastRowLastColumn="0"/>
            </w:pPr>
            <w:r>
              <w:t>Type</w:t>
            </w:r>
          </w:p>
        </w:tc>
        <w:tc>
          <w:tcPr>
            <w:tcW w:w="2880" w:type="dxa"/>
          </w:tcPr>
          <w:p w14:paraId="15CC7438" w14:textId="77777777" w:rsidR="0013696B" w:rsidRDefault="00202502">
            <w:pPr>
              <w:cnfStyle w:val="100000000000" w:firstRow="1" w:lastRow="0" w:firstColumn="0" w:lastColumn="0" w:oddVBand="0" w:evenVBand="0" w:oddHBand="0" w:evenHBand="0" w:firstRowFirstColumn="0" w:firstRowLastColumn="0" w:lastRowFirstColumn="0" w:lastRowLastColumn="0"/>
            </w:pPr>
            <w:r>
              <w:t>Status</w:t>
            </w:r>
          </w:p>
        </w:tc>
      </w:tr>
      <w:tr w:rsidR="0013696B" w14:paraId="749B31F7" w14:textId="77777777" w:rsidTr="00136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025650C" w14:textId="77777777" w:rsidR="0013696B" w:rsidRDefault="00202502">
            <w:r>
              <w:t>Adaptive Orchestration Engine</w:t>
            </w:r>
          </w:p>
        </w:tc>
        <w:tc>
          <w:tcPr>
            <w:tcW w:w="2880" w:type="dxa"/>
          </w:tcPr>
          <w:p w14:paraId="25A241EC" w14:textId="77777777" w:rsidR="0013696B" w:rsidRDefault="00202502">
            <w:pPr>
              <w:cnfStyle w:val="000000100000" w:firstRow="0" w:lastRow="0" w:firstColumn="0" w:lastColumn="0" w:oddVBand="0" w:evenVBand="0" w:oddHBand="1" w:evenHBand="0" w:firstRowFirstColumn="0" w:firstRowLastColumn="0" w:lastRowFirstColumn="0" w:lastRowLastColumn="0"/>
            </w:pPr>
            <w:r>
              <w:t>Proprietary Software</w:t>
            </w:r>
          </w:p>
        </w:tc>
        <w:tc>
          <w:tcPr>
            <w:tcW w:w="2880" w:type="dxa"/>
          </w:tcPr>
          <w:p w14:paraId="5CC7B5ED" w14:textId="77777777" w:rsidR="0013696B" w:rsidRDefault="00202502">
            <w:pPr>
              <w:cnfStyle w:val="000000100000" w:firstRow="0" w:lastRow="0" w:firstColumn="0" w:lastColumn="0" w:oddVBand="0" w:evenVBand="0" w:oddHBand="1" w:evenHBand="0" w:firstRowFirstColumn="0" w:firstRowLastColumn="0" w:lastRowFirstColumn="0" w:lastRowLastColumn="0"/>
            </w:pPr>
            <w:r>
              <w:t>Copyrighted</w:t>
            </w:r>
          </w:p>
        </w:tc>
      </w:tr>
      <w:tr w:rsidR="0013696B" w14:paraId="2600DBDD" w14:textId="77777777" w:rsidTr="0013696B">
        <w:tc>
          <w:tcPr>
            <w:cnfStyle w:val="001000000000" w:firstRow="0" w:lastRow="0" w:firstColumn="1" w:lastColumn="0" w:oddVBand="0" w:evenVBand="0" w:oddHBand="0" w:evenHBand="0" w:firstRowFirstColumn="0" w:firstRowLastColumn="0" w:lastRowFirstColumn="0" w:lastRowLastColumn="0"/>
            <w:tcW w:w="2880" w:type="dxa"/>
          </w:tcPr>
          <w:p w14:paraId="00D8CE04" w14:textId="77777777" w:rsidR="0013696B" w:rsidRDefault="00202502">
            <w:r>
              <w:t>Policy Graph Compiler</w:t>
            </w:r>
          </w:p>
        </w:tc>
        <w:tc>
          <w:tcPr>
            <w:tcW w:w="2880" w:type="dxa"/>
          </w:tcPr>
          <w:p w14:paraId="1864178B" w14:textId="77777777" w:rsidR="0013696B" w:rsidRDefault="00202502">
            <w:pPr>
              <w:cnfStyle w:val="000000000000" w:firstRow="0" w:lastRow="0" w:firstColumn="0" w:lastColumn="0" w:oddVBand="0" w:evenVBand="0" w:oddHBand="0" w:evenHBand="0" w:firstRowFirstColumn="0" w:firstRowLastColumn="0" w:lastRowFirstColumn="0" w:lastRowLastColumn="0"/>
            </w:pPr>
            <w:r>
              <w:t>Algorithm + Software</w:t>
            </w:r>
          </w:p>
        </w:tc>
        <w:tc>
          <w:tcPr>
            <w:tcW w:w="2880" w:type="dxa"/>
          </w:tcPr>
          <w:p w14:paraId="52E7E9CA" w14:textId="77777777" w:rsidR="0013696B" w:rsidRDefault="00202502">
            <w:pPr>
              <w:cnfStyle w:val="000000000000" w:firstRow="0" w:lastRow="0" w:firstColumn="0" w:lastColumn="0" w:oddVBand="0" w:evenVBand="0" w:oddHBand="0" w:evenHBand="0" w:firstRowFirstColumn="0" w:firstRowLastColumn="0" w:lastRowFirstColumn="0" w:lastRowLastColumn="0"/>
            </w:pPr>
            <w:r>
              <w:t>Patent Filed (EU/US)</w:t>
            </w:r>
          </w:p>
        </w:tc>
      </w:tr>
      <w:tr w:rsidR="0013696B" w14:paraId="5E670540" w14:textId="77777777" w:rsidTr="00136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9FF779E" w14:textId="77777777" w:rsidR="0013696B" w:rsidRDefault="00202502">
            <w:r>
              <w:t>Edge Autonomy Module</w:t>
            </w:r>
          </w:p>
        </w:tc>
        <w:tc>
          <w:tcPr>
            <w:tcW w:w="2880" w:type="dxa"/>
          </w:tcPr>
          <w:p w14:paraId="289CA312" w14:textId="77777777" w:rsidR="0013696B" w:rsidRDefault="00202502">
            <w:pPr>
              <w:cnfStyle w:val="000000100000" w:firstRow="0" w:lastRow="0" w:firstColumn="0" w:lastColumn="0" w:oddVBand="0" w:evenVBand="0" w:oddHBand="1" w:evenHBand="0" w:firstRowFirstColumn="0" w:firstRowLastColumn="0" w:lastRowFirstColumn="0" w:lastRowLastColumn="0"/>
            </w:pPr>
            <w:r>
              <w:t>Software</w:t>
            </w:r>
          </w:p>
        </w:tc>
        <w:tc>
          <w:tcPr>
            <w:tcW w:w="2880" w:type="dxa"/>
          </w:tcPr>
          <w:p w14:paraId="1C28A5A2" w14:textId="77777777" w:rsidR="0013696B" w:rsidRDefault="00202502">
            <w:pPr>
              <w:cnfStyle w:val="000000100000" w:firstRow="0" w:lastRow="0" w:firstColumn="0" w:lastColumn="0" w:oddVBand="0" w:evenVBand="0" w:oddHBand="1" w:evenHBand="0" w:firstRowFirstColumn="0" w:firstRowLastColumn="0" w:lastRowFirstColumn="0" w:lastRowLastColumn="0"/>
            </w:pPr>
            <w:r>
              <w:t>Copyrighted</w:t>
            </w:r>
          </w:p>
        </w:tc>
      </w:tr>
      <w:tr w:rsidR="0013696B" w14:paraId="04EC4FF4" w14:textId="77777777" w:rsidTr="0013696B">
        <w:tc>
          <w:tcPr>
            <w:cnfStyle w:val="001000000000" w:firstRow="0" w:lastRow="0" w:firstColumn="1" w:lastColumn="0" w:oddVBand="0" w:evenVBand="0" w:oddHBand="0" w:evenHBand="0" w:firstRowFirstColumn="0" w:firstRowLastColumn="0" w:lastRowFirstColumn="0" w:lastRowLastColumn="0"/>
            <w:tcW w:w="2880" w:type="dxa"/>
          </w:tcPr>
          <w:p w14:paraId="31415A71" w14:textId="77777777" w:rsidR="0013696B" w:rsidRDefault="00202502">
            <w:r>
              <w:t>Security Drift Analyzer</w:t>
            </w:r>
          </w:p>
        </w:tc>
        <w:tc>
          <w:tcPr>
            <w:tcW w:w="2880" w:type="dxa"/>
          </w:tcPr>
          <w:p w14:paraId="333773FF" w14:textId="77777777" w:rsidR="0013696B" w:rsidRDefault="00202502">
            <w:pPr>
              <w:cnfStyle w:val="000000000000" w:firstRow="0" w:lastRow="0" w:firstColumn="0" w:lastColumn="0" w:oddVBand="0" w:evenVBand="0" w:oddHBand="0" w:evenHBand="0" w:firstRowFirstColumn="0" w:firstRowLastColumn="0" w:lastRowFirstColumn="0" w:lastRowLastColumn="0"/>
            </w:pPr>
            <w:r>
              <w:t>Algorithm</w:t>
            </w:r>
          </w:p>
        </w:tc>
        <w:tc>
          <w:tcPr>
            <w:tcW w:w="2880" w:type="dxa"/>
          </w:tcPr>
          <w:p w14:paraId="7169DA65" w14:textId="77777777" w:rsidR="0013696B" w:rsidRDefault="00202502">
            <w:pPr>
              <w:cnfStyle w:val="000000000000" w:firstRow="0" w:lastRow="0" w:firstColumn="0" w:lastColumn="0" w:oddVBand="0" w:evenVBand="0" w:oddHBand="0" w:evenHBand="0" w:firstRowFirstColumn="0" w:firstRowLastColumn="0" w:lastRowFirstColumn="0" w:lastRowLastColumn="0"/>
            </w:pPr>
            <w:r>
              <w:t>Patent Filed (US)</w:t>
            </w:r>
          </w:p>
        </w:tc>
      </w:tr>
    </w:tbl>
    <w:p w14:paraId="78C3EF78" w14:textId="77777777" w:rsidR="0013696B" w:rsidRDefault="0013696B"/>
    <w:p w14:paraId="0FC6D8C4" w14:textId="77777777" w:rsidR="0013696B" w:rsidRDefault="00202502">
      <w:r>
        <w:t>R&amp;D Investments: 2025 spend $36.8mm (11.3% of revenue). Focus areas: AIOps remediation, identity-aware policies, sector packs for healthcare/retail.</w:t>
      </w:r>
    </w:p>
    <w:tbl>
      <w:tblPr>
        <w:tblStyle w:val="HelleListe-Akzent1"/>
        <w:tblW w:w="0" w:type="auto"/>
        <w:tblLook w:val="04A0" w:firstRow="1" w:lastRow="0" w:firstColumn="1" w:lastColumn="0" w:noHBand="0" w:noVBand="1"/>
      </w:tblPr>
      <w:tblGrid>
        <w:gridCol w:w="2880"/>
        <w:gridCol w:w="2880"/>
        <w:gridCol w:w="2880"/>
      </w:tblGrid>
      <w:tr w:rsidR="0013696B" w14:paraId="4FE71B52" w14:textId="77777777" w:rsidTr="00136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A768894" w14:textId="77777777" w:rsidR="0013696B" w:rsidRDefault="00202502">
            <w:r>
              <w:t>Release</w:t>
            </w:r>
          </w:p>
        </w:tc>
        <w:tc>
          <w:tcPr>
            <w:tcW w:w="2880" w:type="dxa"/>
          </w:tcPr>
          <w:p w14:paraId="10628A82" w14:textId="77777777" w:rsidR="0013696B" w:rsidRDefault="00202502">
            <w:pPr>
              <w:cnfStyle w:val="100000000000" w:firstRow="1" w:lastRow="0" w:firstColumn="0" w:lastColumn="0" w:oddVBand="0" w:evenVBand="0" w:oddHBand="0" w:evenHBand="0" w:firstRowFirstColumn="0" w:firstRowLastColumn="0" w:lastRowFirstColumn="0" w:lastRowLastColumn="0"/>
            </w:pPr>
            <w:r>
              <w:t>Quarter</w:t>
            </w:r>
          </w:p>
        </w:tc>
        <w:tc>
          <w:tcPr>
            <w:tcW w:w="2880" w:type="dxa"/>
          </w:tcPr>
          <w:p w14:paraId="2F68508E" w14:textId="77777777" w:rsidR="0013696B" w:rsidRDefault="00202502">
            <w:pPr>
              <w:cnfStyle w:val="100000000000" w:firstRow="1" w:lastRow="0" w:firstColumn="0" w:lastColumn="0" w:oddVBand="0" w:evenVBand="0" w:oddHBand="0" w:evenHBand="0" w:firstRowFirstColumn="0" w:firstRowLastColumn="0" w:lastRowFirstColumn="0" w:lastRowLastColumn="0"/>
            </w:pPr>
            <w:r>
              <w:t>Highlights</w:t>
            </w:r>
          </w:p>
        </w:tc>
      </w:tr>
      <w:tr w:rsidR="0013696B" w14:paraId="59C41593" w14:textId="77777777" w:rsidTr="00136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00FFA6B" w14:textId="77777777" w:rsidR="0013696B" w:rsidRDefault="00202502">
            <w:r>
              <w:t>Insight 3.2</w:t>
            </w:r>
          </w:p>
        </w:tc>
        <w:tc>
          <w:tcPr>
            <w:tcW w:w="2880" w:type="dxa"/>
          </w:tcPr>
          <w:p w14:paraId="3006CEB6" w14:textId="77777777" w:rsidR="0013696B" w:rsidRDefault="00202502">
            <w:pPr>
              <w:cnfStyle w:val="000000100000" w:firstRow="0" w:lastRow="0" w:firstColumn="0" w:lastColumn="0" w:oddVBand="0" w:evenVBand="0" w:oddHBand="1" w:evenHBand="0" w:firstRowFirstColumn="0" w:firstRowLastColumn="0" w:lastRowFirstColumn="0" w:lastRowLastColumn="0"/>
            </w:pPr>
            <w:r>
              <w:t>Q1 2026</w:t>
            </w:r>
          </w:p>
        </w:tc>
        <w:tc>
          <w:tcPr>
            <w:tcW w:w="2880" w:type="dxa"/>
          </w:tcPr>
          <w:p w14:paraId="1034EF11" w14:textId="77777777" w:rsidR="0013696B" w:rsidRDefault="00202502">
            <w:pPr>
              <w:cnfStyle w:val="000000100000" w:firstRow="0" w:lastRow="0" w:firstColumn="0" w:lastColumn="0" w:oddVBand="0" w:evenVBand="0" w:oddHBand="1" w:evenHBand="0" w:firstRowFirstColumn="0" w:firstRowLastColumn="0" w:lastRowFirstColumn="0" w:lastRowLastColumn="0"/>
            </w:pPr>
            <w:r>
              <w:t>Anomaly root-cause ML</w:t>
            </w:r>
          </w:p>
        </w:tc>
      </w:tr>
      <w:tr w:rsidR="0013696B" w14:paraId="1FC9896E" w14:textId="77777777" w:rsidTr="0013696B">
        <w:tc>
          <w:tcPr>
            <w:cnfStyle w:val="001000000000" w:firstRow="0" w:lastRow="0" w:firstColumn="1" w:lastColumn="0" w:oddVBand="0" w:evenVBand="0" w:oddHBand="0" w:evenHBand="0" w:firstRowFirstColumn="0" w:firstRowLastColumn="0" w:lastRowFirstColumn="0" w:lastRowLastColumn="0"/>
            <w:tcW w:w="2880" w:type="dxa"/>
          </w:tcPr>
          <w:p w14:paraId="527C7D4C" w14:textId="77777777" w:rsidR="0013696B" w:rsidRDefault="00202502">
            <w:r>
              <w:t>Secure 2.5</w:t>
            </w:r>
          </w:p>
        </w:tc>
        <w:tc>
          <w:tcPr>
            <w:tcW w:w="2880" w:type="dxa"/>
          </w:tcPr>
          <w:p w14:paraId="0CDF9EBC" w14:textId="77777777" w:rsidR="0013696B" w:rsidRDefault="00202502">
            <w:pPr>
              <w:cnfStyle w:val="000000000000" w:firstRow="0" w:lastRow="0" w:firstColumn="0" w:lastColumn="0" w:oddVBand="0" w:evenVBand="0" w:oddHBand="0" w:evenHBand="0" w:firstRowFirstColumn="0" w:firstRowLastColumn="0" w:lastRowFirstColumn="0" w:lastRowLastColumn="0"/>
            </w:pPr>
            <w:r>
              <w:t>Q2 2026</w:t>
            </w:r>
          </w:p>
        </w:tc>
        <w:tc>
          <w:tcPr>
            <w:tcW w:w="2880" w:type="dxa"/>
          </w:tcPr>
          <w:p w14:paraId="79D948C4" w14:textId="77777777" w:rsidR="0013696B" w:rsidRDefault="00202502">
            <w:pPr>
              <w:cnfStyle w:val="000000000000" w:firstRow="0" w:lastRow="0" w:firstColumn="0" w:lastColumn="0" w:oddVBand="0" w:evenVBand="0" w:oddHBand="0" w:evenHBand="0" w:firstRowFirstColumn="0" w:firstRowLastColumn="0" w:lastRowFirstColumn="0" w:lastRowLastColumn="0"/>
            </w:pPr>
            <w:r>
              <w:t>Policy-as-code templates</w:t>
            </w:r>
          </w:p>
        </w:tc>
      </w:tr>
      <w:tr w:rsidR="0013696B" w14:paraId="43E609F9" w14:textId="77777777" w:rsidTr="00136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1AA0F1D" w14:textId="77777777" w:rsidR="0013696B" w:rsidRDefault="00202502">
            <w:r>
              <w:t>Control 4.0</w:t>
            </w:r>
          </w:p>
        </w:tc>
        <w:tc>
          <w:tcPr>
            <w:tcW w:w="2880" w:type="dxa"/>
          </w:tcPr>
          <w:p w14:paraId="44129052" w14:textId="77777777" w:rsidR="0013696B" w:rsidRDefault="00202502">
            <w:pPr>
              <w:cnfStyle w:val="000000100000" w:firstRow="0" w:lastRow="0" w:firstColumn="0" w:lastColumn="0" w:oddVBand="0" w:evenVBand="0" w:oddHBand="1" w:evenHBand="0" w:firstRowFirstColumn="0" w:firstRowLastColumn="0" w:lastRowFirstColumn="0" w:lastRowLastColumn="0"/>
            </w:pPr>
            <w:r>
              <w:t>Q2 2026</w:t>
            </w:r>
          </w:p>
        </w:tc>
        <w:tc>
          <w:tcPr>
            <w:tcW w:w="2880" w:type="dxa"/>
          </w:tcPr>
          <w:p w14:paraId="173769E4" w14:textId="77777777" w:rsidR="0013696B" w:rsidRDefault="00202502">
            <w:pPr>
              <w:cnfStyle w:val="000000100000" w:firstRow="0" w:lastRow="0" w:firstColumn="0" w:lastColumn="0" w:oddVBand="0" w:evenVBand="0" w:oddHBand="1" w:evenHBand="0" w:firstRowFirstColumn="0" w:firstRowLastColumn="0" w:lastRowFirstColumn="0" w:lastRowLastColumn="0"/>
            </w:pPr>
            <w:r>
              <w:t>No-code workflow builder</w:t>
            </w:r>
          </w:p>
        </w:tc>
      </w:tr>
      <w:tr w:rsidR="0013696B" w14:paraId="492202F6" w14:textId="77777777" w:rsidTr="0013696B">
        <w:tc>
          <w:tcPr>
            <w:cnfStyle w:val="001000000000" w:firstRow="0" w:lastRow="0" w:firstColumn="1" w:lastColumn="0" w:oddVBand="0" w:evenVBand="0" w:oddHBand="0" w:evenHBand="0" w:firstRowFirstColumn="0" w:firstRowLastColumn="0" w:lastRowFirstColumn="0" w:lastRowLastColumn="0"/>
            <w:tcW w:w="2880" w:type="dxa"/>
          </w:tcPr>
          <w:p w14:paraId="6B196D7F" w14:textId="77777777" w:rsidR="0013696B" w:rsidRDefault="00202502">
            <w:r>
              <w:t>Edge 2.1</w:t>
            </w:r>
          </w:p>
        </w:tc>
        <w:tc>
          <w:tcPr>
            <w:tcW w:w="2880" w:type="dxa"/>
          </w:tcPr>
          <w:p w14:paraId="498A8B63" w14:textId="77777777" w:rsidR="0013696B" w:rsidRDefault="00202502">
            <w:pPr>
              <w:cnfStyle w:val="000000000000" w:firstRow="0" w:lastRow="0" w:firstColumn="0" w:lastColumn="0" w:oddVBand="0" w:evenVBand="0" w:oddHBand="0" w:evenHBand="0" w:firstRowFirstColumn="0" w:firstRowLastColumn="0" w:lastRowFirstColumn="0" w:lastRowLastColumn="0"/>
            </w:pPr>
            <w:r>
              <w:t>Q3 2026</w:t>
            </w:r>
          </w:p>
        </w:tc>
        <w:tc>
          <w:tcPr>
            <w:tcW w:w="2880" w:type="dxa"/>
          </w:tcPr>
          <w:p w14:paraId="63121E51" w14:textId="77777777" w:rsidR="0013696B" w:rsidRDefault="00202502">
            <w:pPr>
              <w:cnfStyle w:val="000000000000" w:firstRow="0" w:lastRow="0" w:firstColumn="0" w:lastColumn="0" w:oddVBand="0" w:evenVBand="0" w:oddHBand="0" w:evenHBand="0" w:firstRowFirstColumn="0" w:firstRowLastColumn="0" w:lastRowFirstColumn="0" w:lastRowLastColumn="0"/>
            </w:pPr>
            <w:r>
              <w:t>Offline device orchestration</w:t>
            </w:r>
          </w:p>
        </w:tc>
      </w:tr>
    </w:tbl>
    <w:p w14:paraId="38D862AC" w14:textId="77777777" w:rsidR="0013696B" w:rsidRDefault="0013696B"/>
    <w:p w14:paraId="604E2903" w14:textId="77777777" w:rsidR="0013696B" w:rsidRDefault="00202502">
      <w:pPr>
        <w:pStyle w:val="berschrift1"/>
      </w:pPr>
      <w:r>
        <w:t>7. Strategic Fit and Synergies</w:t>
      </w:r>
    </w:p>
    <w:p w14:paraId="318851B3" w14:textId="77777777" w:rsidR="0013696B" w:rsidRDefault="00202502">
      <w:r>
        <w:t>Complementary Strengths: Relecloud’s orchestration + security suite aligns with Fabrikam’s digital product portfolio and enterprise go-to-market. Shared target accounts in fintech and retail provide immediate cross-sell velocity.</w:t>
      </w:r>
    </w:p>
    <w:tbl>
      <w:tblPr>
        <w:tblStyle w:val="HelleListe-Akzent1"/>
        <w:tblW w:w="0" w:type="auto"/>
        <w:tblLook w:val="04A0" w:firstRow="1" w:lastRow="0" w:firstColumn="1" w:lastColumn="0" w:noHBand="0" w:noVBand="1"/>
      </w:tblPr>
      <w:tblGrid>
        <w:gridCol w:w="2880"/>
        <w:gridCol w:w="2880"/>
        <w:gridCol w:w="2880"/>
      </w:tblGrid>
      <w:tr w:rsidR="0013696B" w14:paraId="5BC08875" w14:textId="77777777" w:rsidTr="00136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5B3124C" w14:textId="77777777" w:rsidR="0013696B" w:rsidRDefault="00202502">
            <w:r>
              <w:t>Synergy Area</w:t>
            </w:r>
          </w:p>
        </w:tc>
        <w:tc>
          <w:tcPr>
            <w:tcW w:w="2880" w:type="dxa"/>
          </w:tcPr>
          <w:p w14:paraId="51D1D862" w14:textId="77777777" w:rsidR="0013696B" w:rsidRDefault="00202502">
            <w:pPr>
              <w:cnfStyle w:val="100000000000" w:firstRow="1" w:lastRow="0" w:firstColumn="0" w:lastColumn="0" w:oddVBand="0" w:evenVBand="0" w:oddHBand="0" w:evenHBand="0" w:firstRowFirstColumn="0" w:firstRowLastColumn="0" w:lastRowFirstColumn="0" w:lastRowLastColumn="0"/>
            </w:pPr>
            <w:r>
              <w:t>Est. Annual Benefit (USD mm)</w:t>
            </w:r>
          </w:p>
        </w:tc>
        <w:tc>
          <w:tcPr>
            <w:tcW w:w="2880" w:type="dxa"/>
          </w:tcPr>
          <w:p w14:paraId="7A66FB38" w14:textId="77777777" w:rsidR="0013696B" w:rsidRDefault="00202502">
            <w:pPr>
              <w:cnfStyle w:val="100000000000" w:firstRow="1" w:lastRow="0" w:firstColumn="0" w:lastColumn="0" w:oddVBand="0" w:evenVBand="0" w:oddHBand="0" w:evenHBand="0" w:firstRowFirstColumn="0" w:firstRowLastColumn="0" w:lastRowFirstColumn="0" w:lastRowLastColumn="0"/>
            </w:pPr>
            <w:r>
              <w:t>Timing</w:t>
            </w:r>
          </w:p>
        </w:tc>
      </w:tr>
      <w:tr w:rsidR="0013696B" w14:paraId="09B9E597" w14:textId="77777777" w:rsidTr="00136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43FC6C0" w14:textId="77777777" w:rsidR="0013696B" w:rsidRDefault="00202502">
            <w:r>
              <w:t>Revenue Cross-sell</w:t>
            </w:r>
          </w:p>
        </w:tc>
        <w:tc>
          <w:tcPr>
            <w:tcW w:w="2880" w:type="dxa"/>
          </w:tcPr>
          <w:p w14:paraId="1DB869DA" w14:textId="77777777" w:rsidR="0013696B" w:rsidRDefault="00202502">
            <w:pPr>
              <w:cnfStyle w:val="000000100000" w:firstRow="0" w:lastRow="0" w:firstColumn="0" w:lastColumn="0" w:oddVBand="0" w:evenVBand="0" w:oddHBand="1" w:evenHBand="0" w:firstRowFirstColumn="0" w:firstRowLastColumn="0" w:lastRowFirstColumn="0" w:lastRowLastColumn="0"/>
            </w:pPr>
            <w:r>
              <w:t>22–28</w:t>
            </w:r>
          </w:p>
        </w:tc>
        <w:tc>
          <w:tcPr>
            <w:tcW w:w="2880" w:type="dxa"/>
          </w:tcPr>
          <w:p w14:paraId="46C18937" w14:textId="77777777" w:rsidR="0013696B" w:rsidRDefault="00202502">
            <w:pPr>
              <w:cnfStyle w:val="000000100000" w:firstRow="0" w:lastRow="0" w:firstColumn="0" w:lastColumn="0" w:oddVBand="0" w:evenVBand="0" w:oddHBand="1" w:evenHBand="0" w:firstRowFirstColumn="0" w:firstRowLastColumn="0" w:lastRowFirstColumn="0" w:lastRowLastColumn="0"/>
            </w:pPr>
            <w:r>
              <w:t>12–24 months</w:t>
            </w:r>
          </w:p>
        </w:tc>
      </w:tr>
      <w:tr w:rsidR="0013696B" w14:paraId="13AC8265" w14:textId="77777777" w:rsidTr="0013696B">
        <w:tc>
          <w:tcPr>
            <w:cnfStyle w:val="001000000000" w:firstRow="0" w:lastRow="0" w:firstColumn="1" w:lastColumn="0" w:oddVBand="0" w:evenVBand="0" w:oddHBand="0" w:evenHBand="0" w:firstRowFirstColumn="0" w:firstRowLastColumn="0" w:lastRowFirstColumn="0" w:lastRowLastColumn="0"/>
            <w:tcW w:w="2880" w:type="dxa"/>
          </w:tcPr>
          <w:p w14:paraId="3BA986D5" w14:textId="77777777" w:rsidR="0013696B" w:rsidRDefault="00202502">
            <w:r>
              <w:t>Upsell to Enterprise Tier</w:t>
            </w:r>
          </w:p>
        </w:tc>
        <w:tc>
          <w:tcPr>
            <w:tcW w:w="2880" w:type="dxa"/>
          </w:tcPr>
          <w:p w14:paraId="71A65CF6" w14:textId="77777777" w:rsidR="0013696B" w:rsidRDefault="00202502">
            <w:pPr>
              <w:cnfStyle w:val="000000000000" w:firstRow="0" w:lastRow="0" w:firstColumn="0" w:lastColumn="0" w:oddVBand="0" w:evenVBand="0" w:oddHBand="0" w:evenHBand="0" w:firstRowFirstColumn="0" w:firstRowLastColumn="0" w:lastRowFirstColumn="0" w:lastRowLastColumn="0"/>
            </w:pPr>
            <w:r>
              <w:t>8–12</w:t>
            </w:r>
          </w:p>
        </w:tc>
        <w:tc>
          <w:tcPr>
            <w:tcW w:w="2880" w:type="dxa"/>
          </w:tcPr>
          <w:p w14:paraId="1649436E" w14:textId="77777777" w:rsidR="0013696B" w:rsidRDefault="00202502">
            <w:pPr>
              <w:cnfStyle w:val="000000000000" w:firstRow="0" w:lastRow="0" w:firstColumn="0" w:lastColumn="0" w:oddVBand="0" w:evenVBand="0" w:oddHBand="0" w:evenHBand="0" w:firstRowFirstColumn="0" w:firstRowLastColumn="0" w:lastRowFirstColumn="0" w:lastRowLastColumn="0"/>
            </w:pPr>
            <w:r>
              <w:t>6–12 months</w:t>
            </w:r>
          </w:p>
        </w:tc>
      </w:tr>
      <w:tr w:rsidR="0013696B" w14:paraId="3A57B236" w14:textId="77777777" w:rsidTr="00136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C130F57" w14:textId="77777777" w:rsidR="0013696B" w:rsidRDefault="00202502">
            <w:r>
              <w:t>Services Consolidation</w:t>
            </w:r>
          </w:p>
        </w:tc>
        <w:tc>
          <w:tcPr>
            <w:tcW w:w="2880" w:type="dxa"/>
          </w:tcPr>
          <w:p w14:paraId="624074B7" w14:textId="77777777" w:rsidR="0013696B" w:rsidRDefault="00202502">
            <w:pPr>
              <w:cnfStyle w:val="000000100000" w:firstRow="0" w:lastRow="0" w:firstColumn="0" w:lastColumn="0" w:oddVBand="0" w:evenVBand="0" w:oddHBand="1" w:evenHBand="0" w:firstRowFirstColumn="0" w:firstRowLastColumn="0" w:lastRowFirstColumn="0" w:lastRowLastColumn="0"/>
            </w:pPr>
            <w:r>
              <w:t>6–9</w:t>
            </w:r>
          </w:p>
        </w:tc>
        <w:tc>
          <w:tcPr>
            <w:tcW w:w="2880" w:type="dxa"/>
          </w:tcPr>
          <w:p w14:paraId="5DCA70D6" w14:textId="77777777" w:rsidR="0013696B" w:rsidRDefault="00202502">
            <w:pPr>
              <w:cnfStyle w:val="000000100000" w:firstRow="0" w:lastRow="0" w:firstColumn="0" w:lastColumn="0" w:oddVBand="0" w:evenVBand="0" w:oddHBand="1" w:evenHBand="0" w:firstRowFirstColumn="0" w:firstRowLastColumn="0" w:lastRowFirstColumn="0" w:lastRowLastColumn="0"/>
            </w:pPr>
            <w:r>
              <w:t>6–12 months</w:t>
            </w:r>
          </w:p>
        </w:tc>
      </w:tr>
      <w:tr w:rsidR="0013696B" w14:paraId="085157C8" w14:textId="77777777" w:rsidTr="0013696B">
        <w:tc>
          <w:tcPr>
            <w:cnfStyle w:val="001000000000" w:firstRow="0" w:lastRow="0" w:firstColumn="1" w:lastColumn="0" w:oddVBand="0" w:evenVBand="0" w:oddHBand="0" w:evenHBand="0" w:firstRowFirstColumn="0" w:firstRowLastColumn="0" w:lastRowFirstColumn="0" w:lastRowLastColumn="0"/>
            <w:tcW w:w="2880" w:type="dxa"/>
          </w:tcPr>
          <w:p w14:paraId="515C8DBE" w14:textId="77777777" w:rsidR="0013696B" w:rsidRDefault="00202502">
            <w:r>
              <w:lastRenderedPageBreak/>
              <w:t>Cloud Infra Cost Optimization</w:t>
            </w:r>
          </w:p>
        </w:tc>
        <w:tc>
          <w:tcPr>
            <w:tcW w:w="2880" w:type="dxa"/>
          </w:tcPr>
          <w:p w14:paraId="66B6A0D7" w14:textId="77777777" w:rsidR="0013696B" w:rsidRDefault="00202502">
            <w:pPr>
              <w:cnfStyle w:val="000000000000" w:firstRow="0" w:lastRow="0" w:firstColumn="0" w:lastColumn="0" w:oddVBand="0" w:evenVBand="0" w:oddHBand="0" w:evenHBand="0" w:firstRowFirstColumn="0" w:firstRowLastColumn="0" w:lastRowFirstColumn="0" w:lastRowLastColumn="0"/>
            </w:pPr>
            <w:r>
              <w:t>4–6</w:t>
            </w:r>
          </w:p>
        </w:tc>
        <w:tc>
          <w:tcPr>
            <w:tcW w:w="2880" w:type="dxa"/>
          </w:tcPr>
          <w:p w14:paraId="07454AC0" w14:textId="77777777" w:rsidR="0013696B" w:rsidRDefault="00202502">
            <w:pPr>
              <w:cnfStyle w:val="000000000000" w:firstRow="0" w:lastRow="0" w:firstColumn="0" w:lastColumn="0" w:oddVBand="0" w:evenVBand="0" w:oddHBand="0" w:evenHBand="0" w:firstRowFirstColumn="0" w:firstRowLastColumn="0" w:lastRowFirstColumn="0" w:lastRowLastColumn="0"/>
            </w:pPr>
            <w:r>
              <w:t>9–18 months</w:t>
            </w:r>
          </w:p>
        </w:tc>
      </w:tr>
      <w:tr w:rsidR="0013696B" w14:paraId="69CD6C13" w14:textId="77777777" w:rsidTr="00136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3A157B1" w14:textId="77777777" w:rsidR="0013696B" w:rsidRDefault="00202502">
            <w:r>
              <w:t>G&amp;A Overlap Reduction</w:t>
            </w:r>
          </w:p>
        </w:tc>
        <w:tc>
          <w:tcPr>
            <w:tcW w:w="2880" w:type="dxa"/>
          </w:tcPr>
          <w:p w14:paraId="4FADF871" w14:textId="77777777" w:rsidR="0013696B" w:rsidRDefault="00202502">
            <w:pPr>
              <w:cnfStyle w:val="000000100000" w:firstRow="0" w:lastRow="0" w:firstColumn="0" w:lastColumn="0" w:oddVBand="0" w:evenVBand="0" w:oddHBand="1" w:evenHBand="0" w:firstRowFirstColumn="0" w:firstRowLastColumn="0" w:lastRowFirstColumn="0" w:lastRowLastColumn="0"/>
            </w:pPr>
            <w:r>
              <w:t>3–4</w:t>
            </w:r>
          </w:p>
        </w:tc>
        <w:tc>
          <w:tcPr>
            <w:tcW w:w="2880" w:type="dxa"/>
          </w:tcPr>
          <w:p w14:paraId="6020EA67" w14:textId="77777777" w:rsidR="0013696B" w:rsidRDefault="00202502">
            <w:pPr>
              <w:cnfStyle w:val="000000100000" w:firstRow="0" w:lastRow="0" w:firstColumn="0" w:lastColumn="0" w:oddVBand="0" w:evenVBand="0" w:oddHBand="1" w:evenHBand="0" w:firstRowFirstColumn="0" w:firstRowLastColumn="0" w:lastRowFirstColumn="0" w:lastRowLastColumn="0"/>
            </w:pPr>
            <w:r>
              <w:t>6–12 months</w:t>
            </w:r>
          </w:p>
        </w:tc>
      </w:tr>
    </w:tbl>
    <w:p w14:paraId="08B7FC02" w14:textId="77777777" w:rsidR="0013696B" w:rsidRDefault="0013696B"/>
    <w:p w14:paraId="154B89CF" w14:textId="77777777" w:rsidR="0013696B" w:rsidRDefault="00202502">
      <w:pPr>
        <w:pStyle w:val="berschrift1"/>
      </w:pPr>
      <w:r>
        <w:t>8. Risks and Challenges</w:t>
      </w:r>
    </w:p>
    <w:tbl>
      <w:tblPr>
        <w:tblStyle w:val="HelleListe-Akzent1"/>
        <w:tblW w:w="0" w:type="auto"/>
        <w:tblLook w:val="04A0" w:firstRow="1" w:lastRow="0" w:firstColumn="1" w:lastColumn="0" w:noHBand="0" w:noVBand="1"/>
      </w:tblPr>
      <w:tblGrid>
        <w:gridCol w:w="2880"/>
        <w:gridCol w:w="2880"/>
        <w:gridCol w:w="2880"/>
      </w:tblGrid>
      <w:tr w:rsidR="0013696B" w14:paraId="14CFC559" w14:textId="77777777" w:rsidTr="00136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DF27CB4" w14:textId="77777777" w:rsidR="0013696B" w:rsidRDefault="00202502">
            <w:r>
              <w:t>Risk Category</w:t>
            </w:r>
          </w:p>
        </w:tc>
        <w:tc>
          <w:tcPr>
            <w:tcW w:w="2880" w:type="dxa"/>
          </w:tcPr>
          <w:p w14:paraId="2AA6C934" w14:textId="77777777" w:rsidR="0013696B" w:rsidRDefault="00202502">
            <w:pPr>
              <w:cnfStyle w:val="100000000000" w:firstRow="1" w:lastRow="0" w:firstColumn="0" w:lastColumn="0" w:oddVBand="0" w:evenVBand="0" w:oddHBand="0" w:evenHBand="0" w:firstRowFirstColumn="0" w:firstRowLastColumn="0" w:lastRowFirstColumn="0" w:lastRowLastColumn="0"/>
            </w:pPr>
            <w:r>
              <w:t>Description</w:t>
            </w:r>
          </w:p>
        </w:tc>
        <w:tc>
          <w:tcPr>
            <w:tcW w:w="2880" w:type="dxa"/>
          </w:tcPr>
          <w:p w14:paraId="5B819220" w14:textId="77777777" w:rsidR="0013696B" w:rsidRDefault="00202502">
            <w:pPr>
              <w:cnfStyle w:val="100000000000" w:firstRow="1" w:lastRow="0" w:firstColumn="0" w:lastColumn="0" w:oddVBand="0" w:evenVBand="0" w:oddHBand="0" w:evenHBand="0" w:firstRowFirstColumn="0" w:firstRowLastColumn="0" w:lastRowFirstColumn="0" w:lastRowLastColumn="0"/>
            </w:pPr>
            <w:r>
              <w:t>Mitigation</w:t>
            </w:r>
          </w:p>
        </w:tc>
      </w:tr>
      <w:tr w:rsidR="0013696B" w14:paraId="0F512E98" w14:textId="77777777" w:rsidTr="00136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1D29425" w14:textId="77777777" w:rsidR="0013696B" w:rsidRDefault="00202502">
            <w:r>
              <w:t>Financial</w:t>
            </w:r>
          </w:p>
        </w:tc>
        <w:tc>
          <w:tcPr>
            <w:tcW w:w="2880" w:type="dxa"/>
          </w:tcPr>
          <w:p w14:paraId="0689F463" w14:textId="77777777" w:rsidR="0013696B" w:rsidRDefault="00202502">
            <w:pPr>
              <w:cnfStyle w:val="000000100000" w:firstRow="0" w:lastRow="0" w:firstColumn="0" w:lastColumn="0" w:oddVBand="0" w:evenVBand="0" w:oddHBand="1" w:evenHBand="0" w:firstRowFirstColumn="0" w:firstRowLastColumn="0" w:lastRowFirstColumn="0" w:lastRowLastColumn="0"/>
            </w:pPr>
            <w:r>
              <w:t>Revenue concentration (Top 10 = 31%); price pressure in enterprise negotiations.</w:t>
            </w:r>
          </w:p>
        </w:tc>
        <w:tc>
          <w:tcPr>
            <w:tcW w:w="2880" w:type="dxa"/>
          </w:tcPr>
          <w:p w14:paraId="75711C22" w14:textId="77777777" w:rsidR="0013696B" w:rsidRDefault="00202502">
            <w:pPr>
              <w:cnfStyle w:val="000000100000" w:firstRow="0" w:lastRow="0" w:firstColumn="0" w:lastColumn="0" w:oddVBand="0" w:evenVBand="0" w:oddHBand="1" w:evenHBand="0" w:firstRowFirstColumn="0" w:firstRowLastColumn="0" w:lastRowFirstColumn="0" w:lastRowLastColumn="0"/>
            </w:pPr>
            <w:r>
              <w:t>Diversify sectors, multi-year contracts with price floors.</w:t>
            </w:r>
          </w:p>
        </w:tc>
      </w:tr>
      <w:tr w:rsidR="0013696B" w14:paraId="1B73D0EC" w14:textId="77777777" w:rsidTr="0013696B">
        <w:tc>
          <w:tcPr>
            <w:cnfStyle w:val="001000000000" w:firstRow="0" w:lastRow="0" w:firstColumn="1" w:lastColumn="0" w:oddVBand="0" w:evenVBand="0" w:oddHBand="0" w:evenHBand="0" w:firstRowFirstColumn="0" w:firstRowLastColumn="0" w:lastRowFirstColumn="0" w:lastRowLastColumn="0"/>
            <w:tcW w:w="2880" w:type="dxa"/>
          </w:tcPr>
          <w:p w14:paraId="3875374A" w14:textId="77777777" w:rsidR="0013696B" w:rsidRDefault="00202502">
            <w:r>
              <w:t>Operational</w:t>
            </w:r>
          </w:p>
        </w:tc>
        <w:tc>
          <w:tcPr>
            <w:tcW w:w="2880" w:type="dxa"/>
          </w:tcPr>
          <w:p w14:paraId="03D6E2F6" w14:textId="77777777" w:rsidR="0013696B" w:rsidRDefault="00202502">
            <w:pPr>
              <w:cnfStyle w:val="000000000000" w:firstRow="0" w:lastRow="0" w:firstColumn="0" w:lastColumn="0" w:oddVBand="0" w:evenVBand="0" w:oddHBand="0" w:evenHBand="0" w:firstRowFirstColumn="0" w:firstRowLastColumn="0" w:lastRowFirstColumn="0" w:lastRowLastColumn="0"/>
            </w:pPr>
            <w:r>
              <w:t>Scale-up hiring in engineering; dependency on senior architects; incident response capacity.</w:t>
            </w:r>
          </w:p>
        </w:tc>
        <w:tc>
          <w:tcPr>
            <w:tcW w:w="2880" w:type="dxa"/>
          </w:tcPr>
          <w:p w14:paraId="65CD9902" w14:textId="77777777" w:rsidR="0013696B" w:rsidRDefault="00202502">
            <w:pPr>
              <w:cnfStyle w:val="000000000000" w:firstRow="0" w:lastRow="0" w:firstColumn="0" w:lastColumn="0" w:oddVBand="0" w:evenVBand="0" w:oddHBand="0" w:evenHBand="0" w:firstRowFirstColumn="0" w:firstRowLastColumn="0" w:lastRowFirstColumn="0" w:lastRowLastColumn="0"/>
            </w:pPr>
            <w:r>
              <w:t>Succession planning, SRE expansion, on-call rotation automation.</w:t>
            </w:r>
          </w:p>
        </w:tc>
      </w:tr>
      <w:tr w:rsidR="0013696B" w14:paraId="4DF78B3D" w14:textId="77777777" w:rsidTr="00136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522B67D" w14:textId="77777777" w:rsidR="0013696B" w:rsidRDefault="00202502">
            <w:r>
              <w:t>Market</w:t>
            </w:r>
          </w:p>
        </w:tc>
        <w:tc>
          <w:tcPr>
            <w:tcW w:w="2880" w:type="dxa"/>
          </w:tcPr>
          <w:p w14:paraId="5FBFC18F" w14:textId="77777777" w:rsidR="0013696B" w:rsidRDefault="00202502">
            <w:pPr>
              <w:cnfStyle w:val="000000100000" w:firstRow="0" w:lastRow="0" w:firstColumn="0" w:lastColumn="0" w:oddVBand="0" w:evenVBand="0" w:oddHBand="1" w:evenHBand="0" w:firstRowFirstColumn="0" w:firstRowLastColumn="0" w:lastRowFirstColumn="0" w:lastRowLastColumn="0"/>
            </w:pPr>
            <w:r>
              <w:t>Competition from hyperscaler-native tooling; feature parity arms race.</w:t>
            </w:r>
          </w:p>
        </w:tc>
        <w:tc>
          <w:tcPr>
            <w:tcW w:w="2880" w:type="dxa"/>
          </w:tcPr>
          <w:p w14:paraId="5A717738" w14:textId="77777777" w:rsidR="0013696B" w:rsidRDefault="00202502">
            <w:pPr>
              <w:cnfStyle w:val="000000100000" w:firstRow="0" w:lastRow="0" w:firstColumn="0" w:lastColumn="0" w:oddVBand="0" w:evenVBand="0" w:oddHBand="1" w:evenHBand="0" w:firstRowFirstColumn="0" w:firstRowLastColumn="0" w:lastRowFirstColumn="0" w:lastRowLastColumn="0"/>
            </w:pPr>
            <w:r>
              <w:t>Differentiation via integrated platform, outcome SLAs.</w:t>
            </w:r>
          </w:p>
        </w:tc>
      </w:tr>
      <w:tr w:rsidR="0013696B" w14:paraId="3BEAE6FF" w14:textId="77777777" w:rsidTr="0013696B">
        <w:tc>
          <w:tcPr>
            <w:cnfStyle w:val="001000000000" w:firstRow="0" w:lastRow="0" w:firstColumn="1" w:lastColumn="0" w:oddVBand="0" w:evenVBand="0" w:oddHBand="0" w:evenHBand="0" w:firstRowFirstColumn="0" w:firstRowLastColumn="0" w:lastRowFirstColumn="0" w:lastRowLastColumn="0"/>
            <w:tcW w:w="2880" w:type="dxa"/>
          </w:tcPr>
          <w:p w14:paraId="2CA59294" w14:textId="77777777" w:rsidR="0013696B" w:rsidRDefault="00202502">
            <w:r>
              <w:t>Regulatory/Legal</w:t>
            </w:r>
          </w:p>
        </w:tc>
        <w:tc>
          <w:tcPr>
            <w:tcW w:w="2880" w:type="dxa"/>
          </w:tcPr>
          <w:p w14:paraId="66F5156D" w14:textId="77777777" w:rsidR="0013696B" w:rsidRDefault="00202502">
            <w:pPr>
              <w:cnfStyle w:val="000000000000" w:firstRow="0" w:lastRow="0" w:firstColumn="0" w:lastColumn="0" w:oddVBand="0" w:evenVBand="0" w:oddHBand="0" w:evenHBand="0" w:firstRowFirstColumn="0" w:firstRowLastColumn="0" w:lastRowFirstColumn="0" w:lastRowLastColumn="0"/>
            </w:pPr>
            <w:r>
              <w:t>Data sovereignty rules (EU/UK); evolving AI regulation; IP litigation exposure.</w:t>
            </w:r>
          </w:p>
        </w:tc>
        <w:tc>
          <w:tcPr>
            <w:tcW w:w="2880" w:type="dxa"/>
          </w:tcPr>
          <w:p w14:paraId="6343D262" w14:textId="77777777" w:rsidR="0013696B" w:rsidRDefault="00202502">
            <w:pPr>
              <w:cnfStyle w:val="000000000000" w:firstRow="0" w:lastRow="0" w:firstColumn="0" w:lastColumn="0" w:oddVBand="0" w:evenVBand="0" w:oddHBand="0" w:evenHBand="0" w:firstRowFirstColumn="0" w:firstRowLastColumn="0" w:lastRowFirstColumn="0" w:lastRowLastColumn="0"/>
            </w:pPr>
            <w:r>
              <w:t>Regional data controls, legal reserves, patent strategy.</w:t>
            </w:r>
          </w:p>
        </w:tc>
      </w:tr>
    </w:tbl>
    <w:p w14:paraId="3DACA5F8" w14:textId="77777777" w:rsidR="0013696B" w:rsidRDefault="0013696B"/>
    <w:p w14:paraId="2367F310" w14:textId="77777777" w:rsidR="0013696B" w:rsidRDefault="00202502">
      <w:pPr>
        <w:pStyle w:val="berschrift1"/>
      </w:pPr>
      <w:r>
        <w:t>9. Future Outlook</w:t>
      </w:r>
    </w:p>
    <w:tbl>
      <w:tblPr>
        <w:tblStyle w:val="HelleListe-Akzent1"/>
        <w:tblW w:w="0" w:type="auto"/>
        <w:tblLook w:val="04A0" w:firstRow="1" w:lastRow="0" w:firstColumn="1" w:lastColumn="0" w:noHBand="0" w:noVBand="1"/>
      </w:tblPr>
      <w:tblGrid>
        <w:gridCol w:w="2880"/>
        <w:gridCol w:w="2880"/>
        <w:gridCol w:w="2880"/>
      </w:tblGrid>
      <w:tr w:rsidR="0013696B" w14:paraId="336A6698" w14:textId="77777777" w:rsidTr="00136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5E469BA" w14:textId="77777777" w:rsidR="0013696B" w:rsidRDefault="00202502">
            <w:r>
              <w:t>Year</w:t>
            </w:r>
          </w:p>
        </w:tc>
        <w:tc>
          <w:tcPr>
            <w:tcW w:w="2880" w:type="dxa"/>
          </w:tcPr>
          <w:p w14:paraId="06B8F843" w14:textId="77777777" w:rsidR="0013696B" w:rsidRDefault="00202502">
            <w:pPr>
              <w:cnfStyle w:val="100000000000" w:firstRow="1" w:lastRow="0" w:firstColumn="0" w:lastColumn="0" w:oddVBand="0" w:evenVBand="0" w:oddHBand="0" w:evenHBand="0" w:firstRowFirstColumn="0" w:firstRowLastColumn="0" w:lastRowFirstColumn="0" w:lastRowLastColumn="0"/>
            </w:pPr>
            <w:r>
              <w:t>Projected Revenue (USD mm)</w:t>
            </w:r>
          </w:p>
        </w:tc>
        <w:tc>
          <w:tcPr>
            <w:tcW w:w="2880" w:type="dxa"/>
          </w:tcPr>
          <w:p w14:paraId="0118E734" w14:textId="77777777" w:rsidR="0013696B" w:rsidRDefault="00202502">
            <w:pPr>
              <w:cnfStyle w:val="100000000000" w:firstRow="1" w:lastRow="0" w:firstColumn="0" w:lastColumn="0" w:oddVBand="0" w:evenVBand="0" w:oddHBand="0" w:evenHBand="0" w:firstRowFirstColumn="0" w:firstRowLastColumn="0" w:lastRowFirstColumn="0" w:lastRowLastColumn="0"/>
            </w:pPr>
            <w:r>
              <w:t>Projected EBITDA (USD mm)</w:t>
            </w:r>
          </w:p>
        </w:tc>
      </w:tr>
      <w:tr w:rsidR="0013696B" w14:paraId="3F52840B" w14:textId="77777777" w:rsidTr="00136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3EEB19C" w14:textId="77777777" w:rsidR="0013696B" w:rsidRDefault="00202502">
            <w:r>
              <w:t>2026.0</w:t>
            </w:r>
          </w:p>
        </w:tc>
        <w:tc>
          <w:tcPr>
            <w:tcW w:w="2880" w:type="dxa"/>
          </w:tcPr>
          <w:p w14:paraId="47206B3A" w14:textId="77777777" w:rsidR="0013696B" w:rsidRDefault="00202502">
            <w:pPr>
              <w:cnfStyle w:val="000000100000" w:firstRow="0" w:lastRow="0" w:firstColumn="0" w:lastColumn="0" w:oddVBand="0" w:evenVBand="0" w:oddHBand="1" w:evenHBand="0" w:firstRowFirstColumn="0" w:firstRowLastColumn="0" w:lastRowFirstColumn="0" w:lastRowLastColumn="0"/>
            </w:pPr>
            <w:r>
              <w:t>392.0</w:t>
            </w:r>
          </w:p>
        </w:tc>
        <w:tc>
          <w:tcPr>
            <w:tcW w:w="2880" w:type="dxa"/>
          </w:tcPr>
          <w:p w14:paraId="41BE5F15" w14:textId="77777777" w:rsidR="0013696B" w:rsidRDefault="00202502">
            <w:pPr>
              <w:cnfStyle w:val="000000100000" w:firstRow="0" w:lastRow="0" w:firstColumn="0" w:lastColumn="0" w:oddVBand="0" w:evenVBand="0" w:oddHBand="1" w:evenHBand="0" w:firstRowFirstColumn="0" w:firstRowLastColumn="0" w:lastRowFirstColumn="0" w:lastRowLastColumn="0"/>
            </w:pPr>
            <w:r>
              <w:t>94.0</w:t>
            </w:r>
          </w:p>
        </w:tc>
      </w:tr>
      <w:tr w:rsidR="0013696B" w14:paraId="5B60C56A" w14:textId="77777777" w:rsidTr="0013696B">
        <w:tc>
          <w:tcPr>
            <w:cnfStyle w:val="001000000000" w:firstRow="0" w:lastRow="0" w:firstColumn="1" w:lastColumn="0" w:oddVBand="0" w:evenVBand="0" w:oddHBand="0" w:evenHBand="0" w:firstRowFirstColumn="0" w:firstRowLastColumn="0" w:lastRowFirstColumn="0" w:lastRowLastColumn="0"/>
            <w:tcW w:w="2880" w:type="dxa"/>
          </w:tcPr>
          <w:p w14:paraId="5BA0648C" w14:textId="77777777" w:rsidR="0013696B" w:rsidRDefault="00202502">
            <w:r>
              <w:t>2027.0</w:t>
            </w:r>
          </w:p>
        </w:tc>
        <w:tc>
          <w:tcPr>
            <w:tcW w:w="2880" w:type="dxa"/>
          </w:tcPr>
          <w:p w14:paraId="333E44CC" w14:textId="77777777" w:rsidR="0013696B" w:rsidRDefault="00202502">
            <w:pPr>
              <w:cnfStyle w:val="000000000000" w:firstRow="0" w:lastRow="0" w:firstColumn="0" w:lastColumn="0" w:oddVBand="0" w:evenVBand="0" w:oddHBand="0" w:evenHBand="0" w:firstRowFirstColumn="0" w:firstRowLastColumn="0" w:lastRowFirstColumn="0" w:lastRowLastColumn="0"/>
            </w:pPr>
            <w:r>
              <w:t>476.0</w:t>
            </w:r>
          </w:p>
        </w:tc>
        <w:tc>
          <w:tcPr>
            <w:tcW w:w="2880" w:type="dxa"/>
          </w:tcPr>
          <w:p w14:paraId="76E21C33" w14:textId="77777777" w:rsidR="0013696B" w:rsidRDefault="00202502">
            <w:pPr>
              <w:cnfStyle w:val="000000000000" w:firstRow="0" w:lastRow="0" w:firstColumn="0" w:lastColumn="0" w:oddVBand="0" w:evenVBand="0" w:oddHBand="0" w:evenHBand="0" w:firstRowFirstColumn="0" w:firstRowLastColumn="0" w:lastRowFirstColumn="0" w:lastRowLastColumn="0"/>
            </w:pPr>
            <w:r>
              <w:t>116.0</w:t>
            </w:r>
          </w:p>
        </w:tc>
      </w:tr>
      <w:tr w:rsidR="0013696B" w14:paraId="425AEBA6" w14:textId="77777777" w:rsidTr="00136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A825B23" w14:textId="77777777" w:rsidR="0013696B" w:rsidRDefault="00202502">
            <w:r>
              <w:t>2028.0</w:t>
            </w:r>
          </w:p>
        </w:tc>
        <w:tc>
          <w:tcPr>
            <w:tcW w:w="2880" w:type="dxa"/>
          </w:tcPr>
          <w:p w14:paraId="65EF0935" w14:textId="77777777" w:rsidR="0013696B" w:rsidRDefault="00202502">
            <w:pPr>
              <w:cnfStyle w:val="000000100000" w:firstRow="0" w:lastRow="0" w:firstColumn="0" w:lastColumn="0" w:oddVBand="0" w:evenVBand="0" w:oddHBand="1" w:evenHBand="0" w:firstRowFirstColumn="0" w:firstRowLastColumn="0" w:lastRowFirstColumn="0" w:lastRowLastColumn="0"/>
            </w:pPr>
            <w:r>
              <w:t>565.0</w:t>
            </w:r>
          </w:p>
        </w:tc>
        <w:tc>
          <w:tcPr>
            <w:tcW w:w="2880" w:type="dxa"/>
          </w:tcPr>
          <w:p w14:paraId="1E4118A3" w14:textId="77777777" w:rsidR="0013696B" w:rsidRDefault="00202502">
            <w:pPr>
              <w:cnfStyle w:val="000000100000" w:firstRow="0" w:lastRow="0" w:firstColumn="0" w:lastColumn="0" w:oddVBand="0" w:evenVBand="0" w:oddHBand="1" w:evenHBand="0" w:firstRowFirstColumn="0" w:firstRowLastColumn="0" w:lastRowFirstColumn="0" w:lastRowLastColumn="0"/>
            </w:pPr>
            <w:r>
              <w:t>140.0</w:t>
            </w:r>
          </w:p>
        </w:tc>
      </w:tr>
    </w:tbl>
    <w:p w14:paraId="350F0F41" w14:textId="77777777" w:rsidR="0013696B" w:rsidRDefault="0013696B"/>
    <w:p w14:paraId="1DC90330" w14:textId="77777777" w:rsidR="0013696B" w:rsidRDefault="00202502">
      <w:r>
        <w:rPr>
          <w:noProof/>
        </w:rPr>
        <w:lastRenderedPageBreak/>
        <w:drawing>
          <wp:inline distT="0" distB="0" distL="0" distR="0" wp14:anchorId="30A8FD18" wp14:editId="5E025A0F">
            <wp:extent cx="5303520" cy="2651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cast_chart.png"/>
                    <pic:cNvPicPr/>
                  </pic:nvPicPr>
                  <pic:blipFill>
                    <a:blip r:embed="rId12"/>
                    <a:stretch>
                      <a:fillRect/>
                    </a:stretch>
                  </pic:blipFill>
                  <pic:spPr>
                    <a:xfrm>
                      <a:off x="0" y="0"/>
                      <a:ext cx="5303520" cy="2651760"/>
                    </a:xfrm>
                    <a:prstGeom prst="rect">
                      <a:avLst/>
                    </a:prstGeom>
                  </pic:spPr>
                </pic:pic>
              </a:graphicData>
            </a:graphic>
          </wp:inline>
        </w:drawing>
      </w:r>
    </w:p>
    <w:p w14:paraId="438C025B" w14:textId="77777777" w:rsidR="0013696B" w:rsidRDefault="00202502">
      <w:pPr>
        <w:pStyle w:val="berschrift1"/>
      </w:pPr>
      <w:r>
        <w:t>10. Summary Assessment</w:t>
      </w:r>
    </w:p>
    <w:p w14:paraId="6D43468E" w14:textId="77777777" w:rsidR="0013696B" w:rsidRDefault="00202502">
      <w:r>
        <w:t>Valuation Rationale: Given growth, margins, and synergy potential, an EV/ARR multiple of 6.8–7.5x appears reasonable (implied EV range $1.7–$1.9bn on 2025 ARR $255mm).</w:t>
      </w:r>
    </w:p>
    <w:p w14:paraId="48F6AC32" w14:textId="77777777" w:rsidR="0013696B" w:rsidRDefault="00202502">
      <w:r>
        <w:t>Deal Considerations: Full acquisition vs. majority stake with earn-out tied to enterprise-tier ARR growth. Integration phased over 12–18 months, with brand retention in EMEA for continuity.</w:t>
      </w:r>
    </w:p>
    <w:p w14:paraId="3A38E8AF" w14:textId="77777777" w:rsidR="0013696B" w:rsidRDefault="00202502">
      <w:r>
        <w:t>Recommendation: Relecloud is a strong strategic fit for Fabrikam’s expansion into secure multi-cloud operations. Proceed to detailed due diligence focusing on enterprise churn drivers, roadmap execution, and EU data localization commitments.</w:t>
      </w:r>
    </w:p>
    <w:sectPr w:rsidR="0013696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155997069">
    <w:abstractNumId w:val="8"/>
  </w:num>
  <w:num w:numId="2" w16cid:durableId="1762801498">
    <w:abstractNumId w:val="6"/>
  </w:num>
  <w:num w:numId="3" w16cid:durableId="361593376">
    <w:abstractNumId w:val="5"/>
  </w:num>
  <w:num w:numId="4" w16cid:durableId="832188060">
    <w:abstractNumId w:val="4"/>
  </w:num>
  <w:num w:numId="5" w16cid:durableId="1477335599">
    <w:abstractNumId w:val="7"/>
  </w:num>
  <w:num w:numId="6" w16cid:durableId="41177515">
    <w:abstractNumId w:val="3"/>
  </w:num>
  <w:num w:numId="7" w16cid:durableId="1979144419">
    <w:abstractNumId w:val="2"/>
  </w:num>
  <w:num w:numId="8" w16cid:durableId="884292309">
    <w:abstractNumId w:val="1"/>
  </w:num>
  <w:num w:numId="9" w16cid:durableId="1648129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4F9B"/>
    <w:rsid w:val="0013696B"/>
    <w:rsid w:val="0015074B"/>
    <w:rsid w:val="00202502"/>
    <w:rsid w:val="0029639D"/>
    <w:rsid w:val="00326F90"/>
    <w:rsid w:val="003D4DB2"/>
    <w:rsid w:val="0041111B"/>
    <w:rsid w:val="004B3CCB"/>
    <w:rsid w:val="004C0F9D"/>
    <w:rsid w:val="00A37339"/>
    <w:rsid w:val="00AA1D8D"/>
    <w:rsid w:val="00B352AC"/>
    <w:rsid w:val="00B47730"/>
    <w:rsid w:val="00CB0664"/>
    <w:rsid w:val="00CD5FFF"/>
    <w:rsid w:val="00E41D14"/>
    <w:rsid w:val="00EE78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3007118-11FB-4EA7-A846-2B1070E7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Calibri" w:eastAsia="Calibri" w:hAnsi="Calibri"/>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EE19858488447872FF48F606A97D9" ma:contentTypeVersion="10" ma:contentTypeDescription="Create a new document." ma:contentTypeScope="" ma:versionID="270df4ee1c532db3369241b2b7131554">
  <xsd:schema xmlns:xsd="http://www.w3.org/2001/XMLSchema" xmlns:xs="http://www.w3.org/2001/XMLSchema" xmlns:p="http://schemas.microsoft.com/office/2006/metadata/properties" xmlns:ns2="9072988e-ff22-464c-bd74-76dfb62357f9" targetNamespace="http://schemas.microsoft.com/office/2006/metadata/properties" ma:root="true" ma:fieldsID="41a11c4cfc2b0383db8ccd32c9075af9" ns2:_="">
    <xsd:import namespace="9072988e-ff22-464c-bd74-76dfb62357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2988e-ff22-464c-bd74-76dfb6235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1a3df4-a78b-43c9-a03e-c7aee820bf9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72988e-ff22-464c-bd74-76dfb62357f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C8AAB8-8D9D-4FC5-9293-2FFDADE45C55}"/>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47A3CEBB-E447-4A65-AFC9-1DE7A850F272}">
  <ds:schemaRefs>
    <ds:schemaRef ds:uri="http://schemas.microsoft.com/office/2006/metadata/properties"/>
    <ds:schemaRef ds:uri="http://schemas.microsoft.com/office/infopath/2007/PartnerControls"/>
    <ds:schemaRef ds:uri="9072988e-ff22-464c-bd74-76dfb62357f9"/>
  </ds:schemaRefs>
</ds:datastoreItem>
</file>

<file path=customXml/itemProps4.xml><?xml version="1.0" encoding="utf-8"?>
<ds:datastoreItem xmlns:ds="http://schemas.openxmlformats.org/officeDocument/2006/customXml" ds:itemID="{A3A0F614-F035-47C6-A58F-46F8D8F37AD7}">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948</Words>
  <Characters>6100</Characters>
  <Application>Microsoft Office Word</Application>
  <DocSecurity>0</DocSecurity>
  <Lines>254</Lines>
  <Paragraphs>195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Harald Werth - Consult4AI</cp:lastModifiedBy>
  <cp:revision>8</cp:revision>
  <dcterms:created xsi:type="dcterms:W3CDTF">2013-12-23T23:15:00Z</dcterms:created>
  <dcterms:modified xsi:type="dcterms:W3CDTF">2026-03-07T09:34:00Z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0x0101005CFEE19858488447872FF48F606A97D9</vt:lpwstr>
  </property>
  <property fmtid="{D5CDD505-2E9C-101B-9397-08002B2CF9AE}" pid="3" name="MediaServiceImageTags">
    <vt:lpwstr/>
  </property>
</Properties>
</file>